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Návrh nariadenia o verejných zákazkách a koncesiách, COM(2026) 590</w:t>
      </w:r>
    </w:p>
    <w:p>
      <w:r>
        <w:rPr>
          <w:i/>
        </w:rPr>
        <w:t>Neoficiálny slovenský preklad, strojový preklad eTranslation po dočistení. Rozhodné je anglické znenie.</w:t>
      </w:r>
    </w:p>
    <w:p>
      <w:r>
        <w:t>Partner projektu: TENDERIX – První AI ve veřejných zakázkách, https://www.tenderix.cz</w:t>
      </w:r>
    </w:p>
    <w:p>
      <w:r>
        <w:t>Zpracoval: Dominik Žlebek, https://www.linkedin.com/in/dominikzlebek/</w:t>
      </w:r>
    </w:p>
    <w:p>
      <w:r>
        <w:t>Web: https://euprocurement.eu/</w:t>
      </w:r>
    </w:p>
    <w:p>
      <w:r>
        <w:t>Originál v angličtině: https://single-market-economy.ec.europa.eu/publications/proposal-regulation-public-contracts-and-concessions_en</w:t>
      </w:r>
    </w:p>
    <w:p>
      <w:r>
        <w:t>EURÓPSKA</w:t>
      </w:r>
    </w:p>
    <w:p>
      <w:r>
        <w:t>KOMISIA</w:t>
      </w:r>
    </w:p>
    <w:p>
      <w:r>
        <w:t>Brusel 9. septembra 2026, COM(2026) 590 final</w:t>
      </w:r>
    </w:p>
    <w:p>
      <w:r>
        <w:t>2026/0265 (COD)</w:t>
      </w:r>
    </w:p>
    <w:p>
      <w:pPr>
        <w:pStyle w:val="Heading3"/>
        <w:jc w:val="center"/>
      </w:pPr>
      <w:r>
        <w:t>Návrh</w:t>
      </w:r>
    </w:p>
    <w:p>
      <w:r>
        <w:t>NARIADENIE EURÓPSKEHO PARLAMENTU A RADY</w:t>
      </w:r>
    </w:p>
    <w:p>
      <w:r>
        <w:t>o verejných zákazkách a koncesiách a o zrušení smerníc 2014/23/EÚ, 2014/24/EÚ a</w:t>
      </w:r>
    </w:p>
    <w:p>
      <w:r>
        <w:t>2014/25/EÚ a o zmene nariadení (ES) č. 1370/2007, (EÚ) 2023/1542, (EÚ) 2024/1157, (EÚ) 2024/1252, (EÚ) 2024/1735, (EÚ) 2024/1781, (EÚ) 2024/2847, (EÚ)</w:t>
      </w:r>
    </w:p>
    <w:p>
      <w:r>
        <w:t>2024/3110 a (EÚ) 2025/40 a smernice 2008/98/ES, (EÚ) 2019/882 a (EÚ) 2022/2381,</w:t>
      </w:r>
    </w:p>
    <w:p>
      <w:pPr>
        <w:pStyle w:val="Heading3"/>
        <w:jc w:val="center"/>
      </w:pPr>
      <w:r>
        <w:t>(EÚ) 2023/1791 a (EÚ) 2024/1760 (akt o verejnom obstarávaní)</w:t>
      </w:r>
    </w:p>
    <w:p>
      <w:r>
        <w:t>{SEC(2026) 590 v konečnom znení} – {SWD(2026) 590 v konečnom znení} – {SWD(2026) 591 v konečnom znení} –</w:t>
      </w:r>
    </w:p>
    <w:p>
      <w:r>
        <w:t>{SWD(2026) 592 v konečnom znení}</w:t>
      </w:r>
    </w:p>
    <w:p>
      <w:r>
        <w:t>(Text s významom pre EHP)</w:t>
      </w:r>
    </w:p>
    <w:p>
      <w:pPr>
        <w:pStyle w:val="Heading3"/>
        <w:jc w:val="center"/>
      </w:pPr>
      <w:r>
        <w:t>DÔVODOVÁ SPRÁVA</w:t>
      </w:r>
    </w:p>
    <w:p>
      <w:r>
        <w:t>1. CONTEXTOFTHEPROPOSAL</w:t>
      </w:r>
    </w:p>
    <w:p>
      <w:r>
        <w:t>• Dôvody a ciele návrhu</w:t>
      </w:r>
    </w:p>
    <w:p>
      <w:r>
        <w:t>Táto dôvodová správa je sprievodným dokumentom k návrhu nariadenia o verejnom obstarávaní, ktorým sa reviduje smernica 2014/23/EÚ o udeľovaní koncesií, smernica 2014/24/EÚ o verejnom obstarávaní a smernica 2014/25/EÚ o obstarávaní vykonávanom subjektmi pôsobiacimi v odvetviach vodného hospodárstva, energetiky, dopravy a poštových služieb a ktorým sa menia rôzne odvetvové akty, pokiaľ ide o ustanovenia o verejnom obstarávaní v nich uvedené.</w:t>
      </w:r>
    </w:p>
    <w:p>
      <w:r>
        <w:t>Verejné orgány v celej Európskej únii každý deň zadávajú zákazky na tovar, služby a práce, ktoré formujú každodenný život občanov, či už ide o cesty, po ktorých cestujú, energiu, ktorá poháňa ich domovy, alebo školské budovy, ktoré formujú budúcnosť ich detí. Keďže verejné obstarávanie predstavuje približne 15 % HDP EÚ, je silným politickým nástrojom, ktorý má Únia k dispozícii. Pre obstarávateľov je to prostriedok na zabezpečenie efektívnych investícií do verejnej infraštruktúry a služieb. Pre občanov maximalizuje hodnotu za peniaze daňových poplatníkov tým, že zabezpečuje, aby sa verejné finančné prostriedky vynakladali efektívne a účinne. Pre podniky prináša dobre navrhnutý rámec verejného obstarávania nové príležitosti, a to aj cezhranične. Verejné obstarávanie by malo byť pre všetkých transparentné, spravodlivé a otvorené, aby sa vybudovala a posilnila dôvera verejnosti.</w:t>
      </w:r>
    </w:p>
    <w:p>
      <w:r>
        <w:t>Mario Draghi a Enrico Letta vo svojich správach o budúcnosti európskej konkurencieschopnosti[1] a o jednotnom trhu[2] dôrazne zdôraznili ústrednú úlohu verejného obstarávania. V oboch sa zdôrazňuje obstarávanie nielen ako mechanizmus verejných výdavkov, ale aj ako strategický investičný nástroj na posilnenie čistej priemyselnej základne Únie, podporu inovácií, pokrok v čistej a digitálnej transformácii a posilnenie hospodárskej bezpečnosti a strategickej autonómie. V Dohode o čistom priemysle[3] a Kompase konkurencieschopnosti[4] sa podobne zdôraznila zodpovednosť obstarávateľov za premietnutie strategických usmernení do konkrétnych rozhodnutí o nákupe. V geopolitickom kontexte poznačenom zintenzívňujúcou sa hospodárskou súťažou, zraniteľnosťou dodávateľského reťazca a využívaním hospodárskych závislostí sa spôsob, akým obstarávatelia míňajú peniaze, stal strategickou záležitosťou.</w:t>
      </w:r>
    </w:p>
    <w:p>
      <w:r>
        <w:t>Európsky dvor audítorov[5] poukázal na niekoľko nedostatkov v európskej praxi verejného obstarávania. Zistila, že hospodárska súťaž v oblasti verejných zákaziek sa za posledné desaťročie znížila, že účasť MSP a cezhraničných uchádzačov zostala obmedzená a že postupy s jednou ponukou sa stali čoraz bežnejšími. V tejto súvislosti Rada vo svojich záveroch z mája 2024[6] vyzvala Komisiu, aby predložila komplexný akčný plán na riešenie nedostatkov v právnych predpisoch a praxi v oblasti verejného obstarávania a na zjednodušenie regulačného rámca. Európsky parlament prijal uznesenie o verejnom obstarávaní[7], v ktorom vyzýva na strategickejší, jednoduchší a konkurencieschopnejší rámec. Výbor regiónov[8] a Európsky hospodársky a sociálny výbor[9] prijali stanoviská, v ktorých zdôraznili význam verejného obstarávania ako hnacej sily miestneho rozvoja, sociálneho pokroku a odolnosti priemyslu.</w:t>
      </w:r>
    </w:p>
    <w:p>
      <w:r>
        <w:t>V hĺbkovom hodnotení smerníc z roku 2014, ktoré vykonala Európska komisia, sa potvrdilo, že dnešné pravidlá verejného obstarávania poznajú značné nedostatky. Zistila, že ich zložitosť a nedostatočná flexibilita vytvárajú značnú právnu neistotu pre obstarávateľov aj hospodárske subjekty. Naďalej prevládajú len ceny a zavádzanie sociálnych, environmentálnych a inovačných požiadaviek je naďalej obmedzené. Pravidlá prístupu na trh pre spoločnosti z krajín mimo EÚ nie sú dostatočne jasné a už účinne nereagujú na súčasnú geopolitickú realitu. Roztrieštené systémy elektronického obstarávania bránia riadnej transparentnosti a účinnému monitorovaniu a dohľadu a napriek zlepšeniam transparentnosti chýbajúce údaje a problémy s kvalitou na úrovni EÚ aj na vnútroštátnej úrovni bránia účinnej správe vecí verejných, strategickému rozhodovaniu a predchádzaniu korupcii.</w:t>
      </w:r>
    </w:p>
    <w:p>
      <w:r>
        <w:t>Cieľom návrhu zákona o verejnom obstarávaní je riešiť tieto výzvy.</w:t>
      </w:r>
    </w:p>
    <w:p>
      <w:r>
        <w:t>Zjednodušenie a zvýšenie flexibility a súdržnosti pravidiel verejného obstarávania</w:t>
      </w:r>
    </w:p>
    <w:p>
      <w:r>
        <w:t>Návrhom sa tri smernice z roku 2014 nahrádzajú jediným priamo uplatniteľným nariadením. Konsolidáciou pravidiel uplatniteľných na verejné zákazky, verejné obstarávanie verejnoprospešných služieb a koncesie do jedného právneho nástroja sa odstraňuje zložitosť a nekonzistentnosť vyplývajúca z koexistencie samostatných legislatívnych aktov a rozdielnych vnútroštátnych rozhodnutí o transpozícii.</w:t>
      </w:r>
    </w:p>
    <w:p>
      <w:r>
        <w:t>• Navrhujú sa dva nové hlavné postupy, pričom oba sú možné s výberom alebo bez neho</w:t>
      </w:r>
    </w:p>
    <w:p>
      <w:r>
        <w:t>kritériá a s rokovaniami alebo bez nich: verejná súťaž, v rámci ktorej hospodárske subjekty predkladajú (prvé) ponuky od začiatku, a dynamický postup, v rámci ktorého sa hospodárske subjekty najprv zapoja a neskôr sa vyzvú na predloženie ponuky alebo rokovanie o jednotlivých príležitostiach v oblasti verejného obstarávania, ktoré vzniknú počas platnosti postupu. Tieto dva postupy dopĺňa inovačný postup pre vývoj a nadobúdanie inovačných riešení, ktoré chcú obstarávatelia vyvinúť od hospodárskeho subjektu, aby čo najlepšie uspokojil jeho potreby.</w:t>
      </w:r>
    </w:p>
    <w:p>
      <w:r>
        <w:t>• Objasňujú a podporujú sa trhové konzultácie ako štandardný prípravný nástroj.</w:t>
      </w:r>
    </w:p>
    <w:p>
      <w:r>
        <w:t>• Výberové kritériá sa obmedzujú na to, čo je nevyhnutné a primerané, nadmerné</w:t>
      </w:r>
    </w:p>
    <w:p>
      <w:r>
        <w:t>požiadavky na obrat sú obmedzené a neodôvodnené požiadavky na predchádzajúce skúsenosti vo verejnom sektore sú obmedzené.</w:t>
      </w:r>
    </w:p>
    <w:p>
      <w:r>
        <w:t>Pravidlá verejného obstarávania sa naďalej uplatňujú na subjekty v oblasti vodného hospodárstva, energetiky, dopravy a poštových služieb. Okrem osobitných výnimiek môžu byť verejnoprospešné služby oslobodené aj vtedy, ak je príslušná činnosť priamo vystavená hospodárskej súťaži na trhoch s neobmedzeným prístupom.</w:t>
      </w:r>
    </w:p>
    <w:p>
      <w:r>
        <w:t>S cieľom ďalej zjednodušiť celkový legislatívny rámec sa do tohto nariadenia začleňujú pravidlá týkajúce sa koncesií. Revidované procesné pravidlá sa budú vzťahovať na verejné zákazky aj koncesie a v prípade potreby sa doplnia upravenými pravidlami pre koncesie, aby sa zohľadnili určité osobitné charakteristiky koncesií.</w:t>
      </w:r>
    </w:p>
    <w:p>
      <w:r>
        <w:t>Intenzívnejšie využívanie strategického obstarávania</w:t>
      </w:r>
    </w:p>
    <w:p>
      <w:r>
        <w:t>Týmto nariadením sa stanovuje súdržná štruktúra na začlenenie strategických politických cieľov do návrhu obstarávania, zadávania zákaziek a plnenia zákaziek. Návrhom sa posilňuje kvalitatívny rozmer rozhodnutí o udelení grantu. Zákazky sa budú spravidla zadávať na základe najlepšieho pomeru ceny a kvality s minimálnymi požiadavkami na váženie kvality vrátane vyššieho váženia v prípade zákaziek s vysokým podielom ľudskej práce.</w:t>
      </w:r>
    </w:p>
    <w:p>
      <w:r>
        <w:t>• Pokiaľ ide o environmentálne obstarávanie, návrh poskytuje jasnejšie právne základy pre používanie</w:t>
      </w:r>
    </w:p>
    <w:p>
      <w:r>
        <w:t>environmentálnych požiadaviek počas celého cyklu obstarávania. Posilňuje sa ním príspevok obstarávania k obehovosti, recyklovanému a renovovanému obsahu, zhodnocovaniu odpadu a energetickej efektívnosti a vytvára sa rámec pre povinné požiadavky na zelené obstarávanie pre určité kategórie výrobkov, pri ktorých hrozí, že rozdielne uplatňovanie požiadaviek spôsobí fragmentáciu trhu.</w:t>
      </w:r>
    </w:p>
    <w:p>
      <w:r>
        <w:t>• Pokiaľ ide o sociálne zodpovedné obstarávanie, v návrhu sa zdôrazňuje niekoľko dôležitých</w:t>
      </w:r>
    </w:p>
    <w:p>
      <w:r>
        <w:t>spoločenské ciele vrátane sociálneho začlenenia, integrácie do trhu práce, prístupnosti pre osoby so zdravotným postihnutím, lepších pracovných podmienok, zvyšovania úrovne zručností a rekvalifikácie pracovnej sily, rodovej rovnosti a ľudských práv v dodávateľských reťazcoch. Zdôrazňujú sa v ňom povinnosti týkajúce sa prístupnosti pre osoby so zdravotným postihnutím a zachovávajú sa cielené nástroje, ako sú vyhradené zákazky a prispôsobené pravidlá pre sociálne, zdravotnícke a vzdelávacie služby.</w:t>
      </w:r>
    </w:p>
    <w:p>
      <w:r>
        <w:t>• Pokiaľ ide o inovačné obstarávanie, nový inovačný postup umožňuje obstarávateľom</w:t>
      </w:r>
    </w:p>
    <w:p>
      <w:r>
        <w:t>formulovať spoločenské výzvy namiesto pevne stanovených technických špecifikácií, posudzovať návrhy prostredníctvom rámca posudzovania hodnoty, testovať a validovať prístupy a potom obstarávať výsledné riešenia.</w:t>
      </w:r>
    </w:p>
    <w:p>
      <w:r>
        <w:t>Zlepšenie hospodárskej bezpečnosti a strategickej autonómie EÚ</w:t>
      </w:r>
    </w:p>
    <w:p>
      <w:r>
        <w:t>Návrh je reakciou na rastúci geopolitický význam verejného obstarávania.</w:t>
      </w:r>
    </w:p>
    <w:p>
      <w:r>
        <w:t>• Obstarávatelia majú možnosť a v určitých situáciách sa vyžaduje, aby riešili riziká súvisiace s</w:t>
      </w:r>
    </w:p>
    <w:p>
      <w:r>
        <w:t>záujmy Únie alebo členských štátov v oblasti bezpečnosti a verejnej bezpečnosti súvisiace s kritickou infraštruktúrou, citlivými informáciami, kybernetickou bezpečnosťou, škodlivými kritickými závislosťami, prerušením dodávok a neprimeraným vplyvom tretích krajín.</w:t>
      </w:r>
    </w:p>
    <w:p>
      <w:r>
        <w:t>• Bez toho, aby boli dotknuté akty týkajúce sa konkrétnych výrobkov alebo služieb, nové ustanovenia o</w:t>
      </w:r>
    </w:p>
    <w:p>
      <w:r>
        <w:t>odolnosť a bezpečnosť dodávok sa vzťahujú najmä na zákazky, do ktorých sú zapojené kľúčové alebo dôležité subjekty a kritické infraštruktúry.</w:t>
      </w:r>
    </w:p>
    <w:p>
      <w:r>
        <w:t>• Návrhom sa takisto modernizuje a objasňuje zaobchádzanie s účasťou tretích krajín,</w:t>
      </w:r>
    </w:p>
    <w:p>
      <w:r>
        <w:t>pri plnom rešpektovaní medzinárodných záväzkov Únie:</w:t>
      </w:r>
    </w:p>
    <w:p>
      <w:r>
        <w:t>• Objasňuje rozdiel medzi prevádzkovateľmi a prácami, službami alebo dodávkami, ktoré sú</w:t>
      </w:r>
    </w:p>
    <w:p>
      <w:r>
        <w:t>na ktoré sa vzťahujú medzinárodné záväzky Únie v oblasti verejného obstarávania a záväzky, ktoré nimi nie sú, a vytvára sa nimi spoločný rámec podporovaný online nástrojom Komisie (webový portál Access2Markets vyvinutý Európskou komisiou na pomoc podnikom s medzinárodným obchodom) na určenie pokrytia. Komisia môže takéto pokrytie obmedziť, ak sa analýzou prístupu na trh zistí, že tretia krajina neposkytla hospodárskym subjektom z Únie národné zaobchádzanie v rozpore so svojimi záväzkami, alebo ak je obmedzenie potrebné na ochranu základných záujmov Únie.</w:t>
      </w:r>
    </w:p>
    <w:p>
      <w:r>
        <w:t>• Obstarávatelia môžu uplatňovať požiadavky európskej preferencie, a to aj prostredníctvom</w:t>
      </w:r>
    </w:p>
    <w:p>
      <w:r>
        <w:t>obmedzenie účasti, požadovanie minimálneho pôvodu v Únii alebo v oblasti pôsobnosti alebo udelenie preferencií pri hodnotení. Ak si to vyžadujú strategické záujmy Únie, Komisia môže uzavrieť osobitné postupy pre hospodárske subjekty, výrobky alebo služby, na ktoré sa nevzťahuje režim medzinárodných záväzkov.</w:t>
      </w:r>
    </w:p>
    <w:p>
      <w:r>
        <w:t>Toto nariadenie slúži ako horizontálny rámec pre požiadavky európskej preferencie a bolo navrhnuté tak, aby nebolo v rozpore so súborom právnych predpisov Únie, ktoré sú špecifické pre jednotlivé odvetvia a ktorými sa stanovujú mechanizmy preferencie alebo obmedzenia na základe pôvodu hospodárskych subjektov alebo konkrétneho tovaru alebo služieb ponúkaných v kontexte verejného obstarávania. Týka sa to pravidiel, ktoré už boli prijaté, ako je nariadenie (EÚ) 2024/2803 o implementácii jednotného európskeho neba, alebo novších návrhov, ako je akt na urýchlenie priemyselnej výroby (COM 2026/0068), ktoré sú v súčasnosti v legislatívnom procese. Všeobecné pravidlá tohto nariadenia sa preto uplatňujú, pokiaľ sa v odvetvovom akte nestanovuje inak, a to aj pokiaľ ide o určenie pôvodu.</w:t>
      </w:r>
    </w:p>
    <w:p>
      <w:r>
        <w:t>Okrem toho s cieľom zabrániť nadmernej fragmentácii legislatívneho rámca a zabezpečiť súdržný súbor pravidiel verejného obstarávania toto nariadenie slúži aj ako vzor a základ pre budúce legislatívne akty Únie, ktorými sa stanovia preferenčné mechanizmy založené na pôvode. Týka sa to zlučiteľnosti s medzinárodnými dohodami, ktoré zahŕňajú rozmer verejného obstarávania, spôsobu, akým sa vymedzuje pôvod hospodárskych subjektov, tovaru, služieb a prác. Akékoľvek budúce európske preferenčné pravidlá týkajúce sa verejného obstarávania by mali vychádzať z pravidiel týkajúcich sa skutočných preferenčných požiadaviek stanovených v tomto nariadení a mali by sa upraviť len v prípade potreby vzhľadom na konkrétne odvetvia, na ktoré sa budú vzťahovať.</w:t>
      </w:r>
    </w:p>
    <w:p>
      <w:r>
        <w:t>Uľahčenie prístupu k informáciám o verejnom obstarávaní, údajom a digitálnym nástrojom</w:t>
      </w:r>
    </w:p>
    <w:p>
      <w:r>
        <w:t>V hodnotení súčasných smerníc sa zistilo, že digitálny ekosystém pre obstarávanie je naďalej roztrieštený, neinteroperabilný a nedostatočne založený na údajoch. V návrhu sa to rieši prostredníctvom podstatne integrovanejšieho prístupu.</w:t>
      </w:r>
    </w:p>
    <w:p>
      <w:r>
        <w:t>• Vytvára spoločný digitálny ekosystém založený na sieti interoperability,</w:t>
      </w:r>
    </w:p>
    <w:p>
      <w:r>
        <w:t>harmonizované sémantické normy a spoločné špecifikácie, ktoré obstarávateľom a hospodárskym subjektom používajúcim rôzne systémy elektronického obstarávania umožňujú komunikovať prostredníctvom interoperabilných digitálnych služieb. Kľúčovou inováciou je vytvorenie elektronickej služby oprávnenosti založenej na digitálnych podnikových dokladoch a digitálnych profiloch spoločností, ktorou sa uplatňuje zásada „jedenkrát a dosť“.</w:t>
      </w:r>
    </w:p>
    <w:p>
      <w:r>
        <w:t>• Návrhom sa zriaďujú vnútroštátne dátové priestory pre verejné obstarávanie a Únia—</w:t>
      </w:r>
    </w:p>
    <w:p>
      <w:r>
        <w:t>dátový priestor pre verejné obstarávanie na úrovni, navrhnutý na podporu štruktúrovaného prístupu k údajom o verejnom obstarávaní a životnom cykle zmlúv. Povinnosti zverejňovania sa rozširujú a racionalizujú počas celého životného cyklu obstarávania.</w:t>
      </w:r>
    </w:p>
    <w:p>
      <w:r>
        <w:t>Účinné fungovanie systému si bude vyžadovať aktualizáciu Spoločného slovníka obstarávania (CPV) zriadeného podľa nariadenia (ES) č. 213/2008.</w:t>
      </w:r>
    </w:p>
    <w:p>
      <w:r>
        <w:t>Riadenie</w:t>
      </w:r>
    </w:p>
    <w:p>
      <w:r>
        <w:t>Návrhom sa posilňuje riadenie, monitorovanie a profesionalizácia. Riadenie integrity sa posilňuje prostredníctvom opatrení na riešenie podvodov, kolúzií, korupcie, zvýhodňovania a konfliktov záujmov, čím sa zabezpečí, aby zjednodušenie a strategické ambície tohto nariadenia sprevádzali silnejšie vykonávacie kapacity v praxi.</w:t>
      </w:r>
    </w:p>
    <w:p>
      <w:r>
        <w:t>• Súlad s existujúcimi ustanoveniami v tejto oblasti politiky</w:t>
      </w:r>
    </w:p>
    <w:p>
      <w:r>
        <w:t>V hodnotení Komisie sa zdôrazňujú obavy týkajúce sa fragmentácie pravidiel verejného obstarávania v právnom rámci EÚ. Verejní obstarávatelia a hospodárske subjekty musia v súčasnosti dodržiavať množstvo prekrývajúcich sa a v niektorých prípadoch nesúrodých ustanovení vo viac ako päťdesiatich odvetvových právnych nástrojoch. To je zdrojom právnej neistoty, neprimeranej administratívnej záťaže a procesnej neefektívnosti pri vykonávaní verejného obstarávania v oboch prípadoch.</w:t>
      </w:r>
    </w:p>
    <w:p>
      <w:r>
        <w:t>V oznámení Komisie s názvom „Jednoduchší, jasnejší a lepšie presadzovaný súbor pravidiel EÚ“[10] sa nariaďuje „regulačné hĺbkové čistenie“ pravidiel verejného obstarávania s cieľom odstrániť nadbytočnosť, zefektívniť postupy a zvýšiť právnu zrozumiteľnosť. V navrhovanom nariadení o verejnom obstarávaní sa preto vykonáva komplexná koherentnosť so zameraním na konsolidáciu odvetvových pravidiel týkajúcich sa procesných pravidiel verejného obstarávania, horizontálnych požiadaviek a ustanovení o splnomocnení do zákona o verejnom obstarávaní, pričom sa v plnej miere zachovávajú politické ciele odvetvových aktov.</w:t>
      </w:r>
    </w:p>
    <w:p>
      <w:r>
        <w:t>Dôvody na vylúčenie</w:t>
      </w:r>
    </w:p>
    <w:p>
      <w:r>
        <w:t>V súčasnosti sú dôvody na vylúčenie hospodárskych subjektov z účasti na postupe verejného obstarávania roztrieštené vo viacerých odvetvových aktoch, čo vytvára právnu neistotu a nerovnaké zaobchádzanie. Návrhom sa tieto pravidlá konsolidujú do jednotného a súdržného rámca racionalizáciou existujúcich dôvodov na vylúčenie z účasti na postupe verejného obstarávania takto:</w:t>
      </w:r>
    </w:p>
    <w:p>
      <w:r>
        <w:t>• 7 povinných dôvodov na vylúčenie z odvetvových aktov na základe hlavy V ZFEÚ, ktoré</w:t>
      </w:r>
    </w:p>
    <w:p>
      <w:r>
        <w:t>sú spojené so závažnými trestnými činmi vrátane obchodovania s ľuďmi, korupcie a terorizmu a sú neoddeliteľnými a neoddeliteľnými prvkami činov, v ktorých sú stanovené, sú v týchto činoch zachované, ale odrážajú sa aj v tomto nariadení.</w:t>
      </w:r>
    </w:p>
    <w:p>
      <w:r>
        <w:t>• 2 dôvody na vylúčenie vyplývajúce z právnych aktov založených na iných právnych základoch sú</w:t>
      </w:r>
    </w:p>
    <w:p>
      <w:r>
        <w:t>vypustené z uvedených aktov a zohľadnené v tomto nariadení. Týka sa to doteraz zakotvených dôvodov na vylúčenie v nariadení o preprave odpadu [nariadenie (EÚ) 2024/1157] a nariadení o ekodizajne [nariadenie (EÚ) 2024/1781], ktoré sa z týchto aktov vypúšťajú. Porušenia týchto nástrojov sa však namiesto toho, aby úplne zanikli, začleňujú do existujúcich dôvodov na vylúčenie uvedených v tomto nariadení.</w:t>
      </w:r>
    </w:p>
    <w:p>
      <w:r>
        <w:t>Horizontálne požiadavky</w:t>
      </w:r>
    </w:p>
    <w:p>
      <w:r>
        <w:t>Okrem procesných pravidiel súčasný rámec verejného obstarávania ďalej komplikuje znásobenie horizontálnych požiadaviek v právnych predpisoch týkajúcich sa rozhodnutí o verejnom obstarávaní. Na riešenie tohto problému sa týmto návrhom presúvajú príslušné horizontálne ustanovenia o „čo nakupovať“ do osobitných kapitol aktu, ktoré sú štruktúrované podľa strategických priorít Únie v oblasti obstarávania (zelené, sociálne, bezpečnostné a odolné) a v prípade potreby sa zefektívňujú s cieľom zabezpečiť konzistentnosť pri uplatňovaní týchto požiadaviek.</w:t>
      </w:r>
    </w:p>
    <w:p>
      <w:r>
        <w:t>Splnomocnenia</w:t>
      </w:r>
    </w:p>
    <w:p>
      <w:r>
        <w:t>Napokon päť odvetvových nástrojov obsahuje samostatné a nekoordinované splnomocnenia na stanovenie požiadaviek zeleného verejného obstarávania v určitých oblastiach. S cieľom napraviť túto neefektívnosť sa týmto návrhom zrušujú uvedené odvetvové splnomocnenia na prijímanie delegovaných alebo vykonávacích aktov týkajúcich sa verejného obstarávania a nahrádzajú sa jediným horizontálnym splnomocnením, ktoré Komisii umožňuje za určitých okolností stanoviť určité environmentálne požiadavky ako povinné pre obstarávateľov.</w:t>
      </w:r>
    </w:p>
    <w:p>
      <w:r>
        <w:t>Tento návrh obsahuje cielené zmeny príslušných odvetvových nástrojov, ktoré sú nevyhnutne potrebné na dosiahnutie cieľa návrhu, ktorým je právna súdržnosť. Ďalšie možné úpravy týchto sektorových nástrojov sú úplne mimo rozsahu pôsobnosti tohto návrhu. Potreba akýchkoľvek takýchto úprav sa môže podľa potreby posúdiť v kontexte preskúmania každého dotknutého sektorového nástroja v súlade s ich príslušnými doložkami o preskúmaní a politickými cyklami. Komisia bude konštruktívne spolupracovať so spoluzákonodarcami s cieľom zabezpečiť, aby si legislatívny proces týkajúci sa tohto návrhu v plnej miere zachoval svoj základný cieľ.</w:t>
      </w:r>
    </w:p>
    <w:p>
      <w:r>
        <w:t>Okrem existujúceho acquis niekoľko legislatívnych iniciatív, o ktorých sa v súčasnosti rokuje alebo sa čaká na uverejnenie, obsahuje alebo by malo obsahovať aj ustanovenia týkajúce sa verejného obstarávania. Ide napríklad o návrh aktu o kybernetickej bezpečnosti 2.0 (COM 2026/001), návrh aktu o rozvoji cloudových služieb a umelej inteligencie (COM 2026/0138), návrh aktu na urýchlenie priemyselnej výroby (2026/0068) a návrh aktu o čipoch 2.0 (COM 2026/0139). Koherentnosť, ktorá sa vykonáva týmto návrhom, môže priniesť svoju plnú pridanú hodnotu len vtedy, ak sú samotné tieto prebiehajúce iniciatívy zosúladené s horizontálnym rámcom stanoveným v nariadení o verejnom obstarávaní, pričom sa zachovajú odvetvové pravidlá týkajúce sa toho, čo nakupovať v týchto aktoch. Komisia pracovala na zabezpečení takejto koherentnosti interne pri príprave týchto textov a je nevyhnutné, aby spoluzákonodarcovia zohľadnili aj potrebu koherentnosti a konzistentnosti s nariadením o verejnom obstarávaní. Osobitná pozornosť by sa mala venovať ustanoveniam týkajúcim sa európskych preferenčných požiadaviek, keďže rozdielne odvetvové prístupy by obzvlášť poškodili právnu istotu, rovnaké zaobchádzanie s hospodárskymi subjektmi a riadne fungovanie vnútorného trhu. Komisia bude počas rokovaní o týchto paralelných spisoch konštruktívne spolupracovať s Európskym parlamentom a Radou.</w:t>
      </w:r>
    </w:p>
    <w:p>
      <w:r>
        <w:t>• Súlad s ostatnými politikami Únie</w:t>
      </w:r>
    </w:p>
    <w:p>
      <w:r>
        <w:t>Navrhované nariadenie je takisto v interakcii s odlišnou kategóriou politík Únie, ktoré využívajú verejné obstarávanie ako nástroj na sledovanie konkrétnych cieľov, ale bez toho, aby sa spoliehali na horizontálny rámec verejného obstarávania alebo ho upravovali. Vytvárajú autonómne režimy, ktoré fungujú popri všeobecných pravidlách a reagujú na ich vlastné politické odôvodnenie.</w:t>
      </w:r>
    </w:p>
    <w:p>
      <w:r>
        <w:t>Návrh nezasahuje do režimov obstarávania zavedených v sektoroch obrany a bezpečnosti, ktoré nepatria do rozsahu jeho pôsobnosti a patria do rozsahu pôsobnosti smernice 2009/81/ES. Nie je ním dotknuté nariadenie (EÚ) 2025/1106 (SAFE) a nariadenie (EÚ) 2023/2418 (EDIRPA) o kooperatívnom obstarávaní v oblasti obrany a mechanizmy spoločného obstarávania podľa nariadenia (EÚ) 2022/2371 a nariadenia Rady (EÚ) 2022/2372 o zdravotných krízach zostávajú nedotknuté. Podobne je v súlade s povinnosťami nariadenia (EÚ) 2024/2747 (IMERA) zameranými na odolnosť.</w:t>
      </w:r>
    </w:p>
    <w:p>
      <w:r>
        <w:t>Verejné obstarávanie sa čoraz viac využíva ako páka na obranu strategických záujmov Únie v jej vonkajších hospodárskych vzťahoch a na zabezpečenie rovnakých podmienok pre európske hospodárske subjekty. Európske preferenčné opatrenia sú plne zlučiteľné s medzinárodným rámcom, ktorého je Únia zmluvnou stranou, najmä s Dohodou WTO o vládnom obstarávaní (GPA). Návrhom nie sú dotknuté nástroje obchodnej politiky Únie obsahujúce ustanovenia špecifické pre obstarávanie, najmä nariadenie (EÚ) 2022/2560 o zahraničných subvenciách, ani opatrenia v rámci súboru nástrojov Únie na ochranu obchodu a reštriktívnych opatrení, ako je nariadenie (EÚ) 2023/2675 (nástroj proti nátlaku) a nariadenie Rady (EÚ) č. 833/2014 týkajúce sa Ruska. Pokiaľ ide o nariadenie (EÚ) 2022/1031 o nástroji medzinárodného obstarávania, kapitola 5 navrhovaného nariadenia výslovne zahŕňa, a to aj prostredníctvom krížových odkazov, zásady a pojmy tohto nariadenia týkajúce sa pôvodu hospodárskych subjektov a tovaru.</w:t>
      </w:r>
    </w:p>
    <w:p>
      <w:r>
        <w:t>Súbežne s týmto nariadením Komisia navrhuje európsky inovačný akt, v ktorom sa navrhuje osobitný režim pre obstarávanie služieb výskumu a vývoja, t. j. obstarávanie základného výskumu, priemyselného výskumu a experimentálneho vývoja až po pôvodný vývoj. Zákazky na služby výskumu a vývoja vrátane obstarávania vo fáze pred komerčným využitím sú preto vylúčené z rozsahu pôsobnosti tohto nariadenia. Na rozdiel od osobitného režimu navrhovaného v európskom inovačnom akte sa zákon o verejnom obstarávaní vzťahuje aj na nákup komerčného konečného výrobku.</w:t>
      </w:r>
    </w:p>
    <w:p>
      <w:r>
        <w:t>2. PRÁVNY ZÁKLAD, SUBSIDIARITA A PROPORCIONALITA</w:t>
      </w:r>
    </w:p>
    <w:p>
      <w:r>
        <w:t>• Právny základ</w:t>
      </w:r>
    </w:p>
    <w:p>
      <w:r>
        <w:t>Článok 114 Zmluvy o fungovaní Európskej únie (ďalej len „zmluva“) je vhodným právnym základom tejto iniciatívy, keďže jej hlavným cieľom je vytvoriť jednoduchší a efektívnejší harmonizovaný rámec verejného obstarávania vo všetkých členských štátoch, a tým zlepšiť fungovanie vnútorného trhu v súlade s článkom 26 zmluvy. Hoci sa iniciatíva týka aj záležitostí súvisiacich s cieľmi sledovanými podľa článkov 173 a 207 ZFEÚ, tieto aspekty sú jednoznačne doplnkové k jej hlavnému cieľu, ktorým je harmonizácia pravidiel verejného obstarávania, a preto neodôvodňujú použitie týchto ustanovení ako právnych základov.</w:t>
      </w:r>
    </w:p>
    <w:p>
      <w:r>
        <w:t>• Subsidiarita (v prípade inej ako výlučnej právomoci)</w:t>
      </w:r>
    </w:p>
    <w:p>
      <w:r>
        <w:t>Podľa článku 5 ZEÚ je zásada subsidiarity dodržaná, pretože vyvažuje diskrečnú právomoc verejných obstarávateľov s harmonizačnými opatreniami a prvkami potrebnými na dosiahnutie cieľov tejto iniciatívy, ktoré nie je možné uspokojivo dosiahnuť na úrovni samotných členských štátov.</w:t>
      </w:r>
    </w:p>
    <w:p>
      <w:r>
        <w:t>Verejné obstarávanie je kľúčovým prvkom jednotného trhu EÚ, ktorý verejným obstarávateľom umožňuje cezhraničnú hospodársku súťaž a širší prístup na trhy. Fragmentácia vo vykonávaní však oslabuje jeho účinnosť ako nástroja vnútorného trhu. To si vyžaduje ďalšie opatrenia na úrovni EÚ s cieľom zabezpečiť súdržnosť a zjednodušenie a plne uvoľniť potenciál celoeurópskeho trhu verejného obstarávania pre podniky aj verejných obstarávateľov.</w:t>
      </w:r>
    </w:p>
    <w:p>
      <w:r>
        <w:t>V súlade s nedávnymi rozsudkami Súdneho dvora Európskej únie[11] patrí zaobchádzanie s hospodárskymi subjektmi z tretích krajín vo verejnom obstarávaní do spoločnej obchodnej politiky, ktorá patrí do výlučnej právomoci Únie, a preto ho možno regulovať len na úrovni EÚ. Len Únia, a nie členské štáty konajúce samostatne, má právomoc stanoviť súdržný a jednotný rámec upravujúci účasť uchádzačov z tretích krajín. Opatrenia na úrovni EÚ sú preto odôvodnené a potrebné na zabezpečenie právnej istoty a rovnakých podmienok na celom vnútornom trhu.</w:t>
      </w:r>
    </w:p>
    <w:p>
      <w:r>
        <w:t>• Proporcionalita</w:t>
      </w:r>
    </w:p>
    <w:p>
      <w:r>
        <w:t>Navrhovaná revízia je v súlade so zásadou proporcionality stanovenou v článku 5 ZEÚ a riadi sa tým, čo je prispôsobené a potrebné na dosiahnutie cieľov zabezpečenia efektívnejšieho, transparentnejšieho a súdržnejšieho rámca EÚ pre verejné obstarávanie, čím sa dokončia strategické ciele Únie.</w:t>
      </w:r>
    </w:p>
    <w:p>
      <w:r>
        <w:t>Vytvorenie digitálneho ekosystému EÚ je potrebné na zníženie fragmentácie, administratívnej záťaže a nákladov tým, že sa nariadi prepojenie systémov elektronického obstarávania členských štátov do jednotného integrovaného trhu verejného obstarávania EÚ, čím sa znížia aj náklady na dodržiavanie predpisov a uľahčí cezhraničná účasť a zvýši sa celková efektívnosť trhu.</w:t>
      </w:r>
    </w:p>
    <w:p>
      <w:r>
        <w:t>Ustanovenia o európskych preferenciách v aktoch pre jednotlivé odvetvia sú potrebné na to, aby bolo možné reagovať na nové geopolitické požiadavky a zároveň plne rešpektovať medzinárodné záväzky Únie. Sú navrhnuté primerane tak, aby nepredstavovali neprimeranú finančnú záťaž pre rozpočty verejných obstarávateľov. Ich cieľom je obmedziť administratívne zaťaženie obstarávateľov, najmä prostredníctvom podpory vykonávania a používania digitálnych nástrojov na trhu verejného obstarávania.</w:t>
      </w:r>
    </w:p>
    <w:p>
      <w:r>
        <w:t>Na dosiahnutie spoločných cieľov sociálnej, environmentálnej a inovačnej politiky Únie je potrebné určiť na úrovni Únie najlepší pomer ceny a kvality (ďalej len „BPQR“) ako štandardnú metódu zadávania zákaziek s mechanizmom „dodržiavaj alebo vysvetli“. Hoci vplyv na riziká podvodov a nezrovnalostí závisí od administratívnej kapacity, takéto riziká znižuje niekoľko záruk, najmä požiadavka, aby všetky kritériá kvality zostali spojené s predmetom zákazky, čím sa obmedzuje potenciálne narušenie hospodárskej súťaže.</w:t>
      </w:r>
    </w:p>
    <w:p>
      <w:r>
        <w:t>• Výber nástroja</w:t>
      </w:r>
    </w:p>
    <w:p>
      <w:r>
        <w:t>Navrhovanými regulačnými zmenami sa riešia nedostatky zistené pri hodnotení smerníc z roku 2014 posilnením súdržnosti a právnej zrozumiteľnosti zlúčením troch smerníc do jedného nariadenia a zjednodušením procesnej štruktúry. Reaguje sa tým na pretrvávajúcu fragmentáciu a nedostatočnú harmonizáciu viacerých nástrojov EÚ, čo zvyšuje zložitosť, právnu neistotu a náklady na dodržiavanie predpisov. Vytvorením priamo uplatniteľného nariadenia vytvára rámec jednotný súbor pravidiel na úrovni Únie, zlepšuje konzistentnosť uplatňovania, znižuje fragmentáciu a zabraňuje rozdielnemu vykonávaniu na vnútroštátnej úrovni (tzv. gold-plating) a zároveň zachováva potrebnú flexibilitu. V súlade s mandátom Európskej rady „Jedna Európa, jeden trh“ a odporúčaním uvedeným v Lettovej správe sa tým zabezpečuje väčšia právna istota a vyrovnanejšie podmienky vo všetkých členských štátoch.</w:t>
      </w:r>
    </w:p>
    <w:p>
      <w:r>
        <w:t>3. VÝSLEDKY HODNOTENÍ EX POST, KONZULTÁCIE ZAINTERESOVANÝCH STRÁN</w:t>
      </w:r>
    </w:p>
    <w:p>
      <w:r>
        <w:t>• Hodnotenia ex post/kontroly vhodnosti existujúcich právnych predpisov</w:t>
      </w:r>
    </w:p>
    <w:p>
      <w:r>
        <w:t>Cieľom hodnotenia bolo posúdiť účinky smerníc o verejnom obstarávaní z roku 2014 v rokoch 2016 až 2024. Hodnotenie poskytlo posúdenie založené na dôkazoch týkajúce sa účinnosti, efektívnosti, súdržnosti a relevantnosti uvedených smerníc a jeho zistenia boli podkladom pre proces navrhovania, ako aj pre sprievodné posúdenie vplyvu.</w:t>
      </w:r>
    </w:p>
    <w:p>
      <w:r>
        <w:t>V hodnotení sa zistilo, že cieľ vytvoriť väčšiu právnu zrozumiteľnosť a istotu, pokiaľ ide o rozsah pôsobnosti a pokrytie, sa nedosiahol a že zostávajúce ciele sa dosiahli len čiastočne: konkrétne ide o zjednodušenie, zefektívnenie a väčšiu flexibilitu postupov verejného obstarávania; využívanie verejného obstarávania na podporu iných politických cieľov, ako je sociálna, environmentálna a inovačná politika; otvorenie trhov väčšej cezhraničnej hospodárskej súťaži a uľahčenie účasti MSP; a posilnenie rámca riadenia na predchádzanie nezrovnalostiam. Hoci sa v hodnotení potvrdilo, že všetky tieto ciele sú v súčasnosti naďalej veľmi relevantné, takisto sa zistilo, že smernice nie sú vhodné na účely zaistenia hospodárskej bezpečnosti a reakcie na narušenia dodávateľského reťazca a závislosti.</w:t>
      </w:r>
    </w:p>
    <w:p>
      <w:r>
        <w:t>• Konzultácie so zainteresovanými stranami</w:t>
      </w:r>
    </w:p>
    <w:p>
      <w:r>
        <w:t>V súlade s usmerneniami pre lepšiu právnu reguláciu Komisia uskutočnila ambiciózny a inkluzívny konzultačný proces, ktorého cieľom bolo zhromaždiť spoľahlivé dôkazy od celej škály subjektov verejného obstarávania.</w:t>
      </w:r>
    </w:p>
    <w:p>
      <w:r>
        <w:t>Od 3. novembra 2025 do 26. januára 2026 prebiehala kombinovaná výzva na predkladanie podkladov a verejná konzultácia, ktoré priniesli 745 a 1037 odpovedí od záujmových združení, spoločností, verejných orgánov, odborových zväzov, mimovládnych organizácií a občanov, prevažne z krajín EÚ a EHP. Otvorená verejná konzultácia bola štruktúrovaná do troch tematických sekcií: efektívnosť a transparentnosť, rovnováha medzi ekologickými, sociálnymi, inovačnými a inými cieľmi a hospodárska bezpečnosť a strategická autonómia.</w:t>
      </w:r>
    </w:p>
    <w:p>
      <w:r>
        <w:t>Tieto verejné konzultácie boli doplnené cielenou spoluprácou s členskými štátmi a odborníkmi prostredníctvom expertnej skupiny pre verejné obstarávanie (EXPP), expertnej skupiny pre elektronické verejné obstarávanie (EXEP) a expertnej skupiny zainteresovaných strán pre verejné obstarávanie (SEGPP), ako aj cielenými vypočutiami so sociálnymi partnermi a mimovládnymi organizáciami. Osobitná pozornosť sa venovala účasti MSP, s ktorými sa konzultovalo osobitne prostredníctvom siete vyslancov pre MSP a osobitnej panelovej diskusie MSP, v rámci ktorej sa zhromaždilo 108 odpovedí.</w:t>
      </w:r>
    </w:p>
    <w:p>
      <w:r>
        <w:t>• Získavanie a využívanie expertízy</w:t>
      </w:r>
    </w:p>
    <w:p>
      <w:r>
        <w:t>Výsledky týchto konzultácií, a najmä otvorenej verejnej konzultácie, sa pri príprave návrhu dôkladne zohľadnili. Respondenti sa vo všeobecnosti zhodli na tom, že je potrebné ísť nad rámec paradigmy najnižších nákladov, zvýšiť procesnú flexibilitu a znížiť administratívnu záťaž prostredníctvom úplnej digitalizácie, zatiaľ čo silná podpora (presahujúca 80 % vo všetkých skupinách respondentov z EÚ a EHP) bola vyjadrená za uprednostňovanie európskeho tovaru a služieb v strategických odvetviach, najmä prostredníctvom rozšírenia necenových kritérií a zavedenia mechanizmov „európskej preferencie“. MSP označili zjednodušenie, digitalizáciu a lepšiu dostupnosť údajov za kľúčové priority a poukázali na ťažkosti spôsobené rozdielnym vykonávaním na vnútroštátnej úrovni. Ich príspevky boli priamo podkladom pre opatrenia zamerané na uľahčenie prístupu MSP.</w:t>
      </w:r>
    </w:p>
    <w:p>
      <w:r>
        <w:t>• Hodnotenie vplyvu</w:t>
      </w:r>
    </w:p>
    <w:p>
      <w:r>
        <w:t>V súlade s usmerneniami pre lepšiu právnu reguláciu je tento návrh založený na posúdení vplyvu, v ktorom sa analyzuje problém a čiastkové problémy súvisiace s revíziou smerníc o verejnom obstarávaní v globálnom kontexte výziev v oblasti konkurencieschopnosti. V posúdení vplyvu sa identifikujú dostupné možnosti politiky na riešenie príčin problémov a posudzujú sa ich pravdepodobné vplyvy. Posúdenie vplyvu bolo štruktúrované tak, aby odrážalo otvorenú verejnú konzultáciu, výzvu na predkladanie podkladov a rôzne konzultácie.</w:t>
      </w:r>
    </w:p>
    <w:p>
      <w:r>
        <w:t>Výbor pre kontrolu regulácie pôvodne vydal 17. apríla 2026 negatívne stanovisko k posúdeniu vplyvu. Výbor uviedol niekoľko nedostatkov, ktoré bolo potrebné riešiť, vrátane nedostatočnej analýzy súdržnosti medzi intervenciou a odvetvovými aktmi obsahujúcimi ustanovenia o verejnom obstarávaní a nedostatočného posúdenia rozsahu problémov súvisiacich s environmentálnymi, sociálnymi a inovačnými cieľmi. Výbor pre kontrolu regulácie takisto poukázal na potrebu lepšie špecifikovať a odôvodniť uprednostňované možnosti politiky, najmä pokiaľ ide o to, ako by sa kvalita vymedzila v rámci obstarávania BPQR, a lepšie vyhodnotiť náklady, prínosy a proporcionalitu uprednostňovanej možnosti vrátane jej účinkov na hospodársku súťaž a ceny. Výbor napokon zdôraznil, že v správe chýba dôkladné posúdenie kombinovaných vplyvov a nezamýšľaných dôsledkov uprednostňovanej možnosti, najmä rizík súbežného zavedenia väčšieho počtu rokovaní a väčšieho spoliehania sa na zásady BPQR.</w:t>
      </w:r>
    </w:p>
    <w:p>
      <w:r>
        <w:t>Uvedené body sa riešili v revidovanom posúdení vplyvu predloženom výboru, ktorý 8. júna 2026 vydal kladné stanovisko s výhradami. Výbor požiadal o poskytnutie ďalších podrobností o novom otvorenom postupe s možnými rokovaniami a o BPQR a jeho prístupe „dodržiavaj alebo vysvetli“ a o väčšiu zrozumiteľnosť analýzy nákladov a prínosov. Tieto objasnenia boli poskytnuté.</w:t>
      </w:r>
    </w:p>
    <w:p>
      <w:r>
        <w:t>Posúdenie vplyvu vychádza zo súboru štyroch špecifických cieľov, ktorými sa riešia identifikované príčiny problémov. Stanovujú sa v ňom dve alebo tri možnosti politiky pre každý špecifický cieľ (flexibilita [FLX]; Environmentálne, sociálne a inovačné [ESI]; Kúpiť európsku [BEU] a digitálny trh [MPL]).</w:t>
      </w:r>
    </w:p>
    <w:p>
      <w:r>
        <w:t>• FLX – [FLX.1] Zachováva existujúcu architektúru obstarávania a zároveň zavádza</w:t>
      </w:r>
    </w:p>
    <w:p>
      <w:r>
        <w:t>cielená flexibilita, umožnenie výberu postupu, umožnenie významných opráv v ponukách, ak nemenia podstatu obstarávania, zlepšenie usmernení k predbežným trhovým konzultáciám a objasnenie pojmov, ako je „krízové“ riziko a riziko koncesie. Zároveň sa ním zosúlaďujú pravidlá vo všetkých smerniciach a krížové odkazy na dôvody na vylúčenie s odvetvovými právnymi predpismi. [FLX.2] zlučuje tri existujúce smernice do jedného aktu a reštrukturalizačné postupy do otvoreného konania s možným rokovaním, dynamického postupu, inovačného konania a zákaziek, ktoré vyžadujú len uverejnenie verejného zhrnutia výsledkov, napríklad v núdzových situáciách. Takisto sa v ňom začleňujú dôvody na vylúčenie z existujúcich odvetvových aktov a podľa možnosti sa vypúšťajú z odvetvových aktov. Podporuje konzultácie pred verejným obstarávaním, štandardizuje fázy rokovaní so silnejšími zárukami transparentnosti a posilňuje požiadavky na boj proti podvodom a vysledovateľnosť a zároveň odstraňuje odvetvovú duplicitu.</w:t>
      </w:r>
    </w:p>
    <w:p>
      <w:r>
        <w:t>• ESI – [ESI.1] stimuluje obstarávanie založené na kvalite tým, že stanovuje najlepšiu cenu—</w:t>
      </w:r>
    </w:p>
    <w:p>
      <w:r>
        <w:t>Pomer kvality ako predvolená metóda na vyhodnotenie ponúk podľa logiky „dodržiavaj alebo vysvetli“ s minimálnymi kvalitatívnymi váhami. Podporuje environmentálne značky, náklady na životný cyklus a výkonnostné normy, vymedzuje inovačné obstarávanie, obmedzuje úplné zadávanie zákaziek subdodávateľom a objasňuje prepojenie medzi pracovnými podmienkami a predmetom zákazky. [ESI.2] na tom stavia začlenením príslušných horizontálnych ustanovení z iných aktov Únie, harmonizáciou vymedzení pojmov a centralizáciou splnomocňujúcich ustanovení pre delegované a vykonávacie akty. [ESI.3] zavádza povinné BPQR s minimálnymi kvalitatívnymi váhami bez možnosti neuplatňovania, zavádza záväzné ciele členských štátov a oznamovacie povinnosti, zavádza povinné používanie environmentálnej značky EÚ v prípade potreby, ďalej obmedzuje subdodávateľské reťazce a začleňuje odvetvové požiadavky do všeobecného rámca.</w:t>
      </w:r>
    </w:p>
    <w:p>
      <w:r>
        <w:t>• BEU – [BEU.1] by zaviedla dobrovoľnú európsku preferenciu kodifikáciou</w:t>
      </w:r>
    </w:p>
    <w:p>
      <w:r>
        <w:t>existujúca judikatúra Súdneho dvora Európskej únie a umožnenie verejným obstarávateľom obmedziť účasť na EÚ/EHP a iné medzinárodne zahrnuté hospodárske subjekty alebo tovar (dohoda o vládnom obstarávaní a príslušné dohody o voľnom obchode). Poskytuje praktické nástroje na overovanie oprávnených krajín a usmernenia týkajúce sa pravidiel pôvodu. [BEU.2] ponúka rámec pre koherentnú európsku preferenciu vo vybraných odvetviach v budúcich aktoch prostredníctvom súboru mechanizmov pre obstarávateľov a zároveň štandardizuje vymedzenia pojmov, pravidlá pôvodu a dokumentáciu a integruje tieto nástroje do infraštruktúry digitálneho obstarávania EÚ. V [BEU.3] sa európska preferencia stáva povinnou tým, že sa vyžaduje vylúčenie hospodárskych subjektov z krajín mimo EÚ/EHP alebo z tretích krajín, na ktoré sa nevzťahuje režim medzinárodných záväzkov, pričom podlieha len obmedzeným zárukám, ako je nedostatočná hospodárska súťaž alebo nadmerné náklady.</w:t>
      </w:r>
    </w:p>
    <w:p>
      <w:r>
        <w:t>• MPL – [MPL.1] zriaďuje decentralizovanú sieť vzájomne prepojených vnútroštátnych</w:t>
      </w:r>
    </w:p>
    <w:p>
      <w:r>
        <w:t>platformy elektronického obstarávania prepojené prostredníctvom vrstvy interoperability EÚ. Zavádza sa ním nástroj digitálneho podnikového dokladu pre overené údaje o totožnosti a oprávnenosti spoločnosti, spoločná služba oprávnenosti v oblasti verejného obstarávania a jednotný rámec správy údajov, čím sa posilňuje transparentnosť a spôsobilosti v oblasti boja proti podvodom prostredníctvom systematickej výmeny údajov, nástrojov analýzy rizík a povinného podávania správ. [MPL.2] namiesto toho nahrádza vnútroštátne systémy jednotnou platformou elektronického obstarávania na úrovni EÚ pre všetky postupy podľa aktu, pričom plne centralizuje postupy verejného obstarávania, správu údajov, monitorovanie a nástroje na zabezpečenie súladu na úrovni Únie.</w:t>
      </w:r>
    </w:p>
    <w:p>
      <w:r>
        <w:t>Na základe dostupných údajov sa očakáva, že návrh prinesie významné čisté úspory nákladov, najmä prostredníctvom vytvorenia digitálneho ekosystému verejného obstarávania. Pre hospodárske subjekty predstavujú nové požiadavky opakujúce sa náklady vo výške 477 miliónov EUR, ktoré sú viac ako kompenzované opakujúcimi sa úsporami vo výške 1 miliardy EUR z digitálneho ekosystému a inými zjednodušeniami. Nové opakujúce sa náklady verejných obstarávateľov predstavujú 141 miliónov EUR, zatiaľ čo digitálny ekosystém prináša ročné úspory vo výške 220 miliónov EUR. Na základe jednotlivých postupov priemerný verejný obstarávateľ ušetrí približne 4,4 %, zatiaľ čo priemerný hospodársky subjekt ušetrí približne 8,9 %. Návrh preto celkovo vedie k značným čistým úsporám pre hospodárske subjekty aj verejných obstarávateľov.</w:t>
      </w:r>
    </w:p>
    <w:p>
      <w:r>
        <w:t>• Vhodnosť právnych predpisov a ich zjednodušenie</w:t>
      </w:r>
    </w:p>
    <w:p>
      <w:r>
        <w:t>Návrhom sa zjednodušuje právny rámec nahradením troch existujúcich smerníc jediným priamo uplatniteľným nariadením. Znižuje sa tým fragmentácia, odstraňujú sa rozdiely vyplývajúce z vnútroštátnej transpozície a obstarávateľom a hospodárskym subjektom sa poskytuje súdržnejší a prístupnejší súbor pravidiel. Zefektívňuje sa ním aj procedurálny rámec znížením počtu postupov a vytvorením flexibilnejších a operatívnejších nástrojov prispôsobených rôznym potrebám nákupu.</w:t>
      </w:r>
    </w:p>
    <w:p>
      <w:r>
        <w:t>Návrh je tiež výsledkom komplexného regulačného hĺbkového čistenia. Konsolidácia ustanovení o dôvodoch vylúčenia, horizontálnych ustanoveniach „čo kúpiť“ a splnomocneniach pre zelené verejné obstarávanie, ktoré sú v súčasnosti rozptýlené v odvetvových právnych aktoch, do jedného referenčného právneho predpisu, tohto nariadenia, výrazne zjednoduší uplatňovanie týchto pravidiel v praxi a zvýši ich zrozumiteľnosť a právnu istotu.</w:t>
      </w:r>
    </w:p>
    <w:p>
      <w:r>
        <w:t>Ďalšie zjednodušenie sa dosiahne väčším využívaním digitálnych riešení a štruktúrovaných údajov vrátane interoperabilných digitálnych nástrojov, elektronickej služby oprávnenosti založenej na zásade „jedenkrát a dosť“ a harmonizovaných požiadaviek na uverejňovanie a údaje, čím sa znížia opakujúce sa administratívne formality a zvýši sa efektívnosť. Návrhom sa takisto znižuje zaťaženie hospodárskych subjektov, najmä MSP, a to obmedzením neprimeraných požiadaviek na výber a uľahčením cezhraničnej účasti. V návrhu sa zároveň zachovávajú základné záruky transparentnosti, rovnakého zaobchádzania, hospodárskej súťaže a zodpovednosti, ktoré sa vyžadujú v právnych predpisoch Únie v oblasti verejného obstarávania.</w:t>
      </w:r>
    </w:p>
    <w:p>
      <w:r>
        <w:t>• Základné práva</w:t>
      </w:r>
    </w:p>
    <w:p>
      <w:r>
        <w:t>Návrh nemá vplyv na Chartu základných práv.</w:t>
      </w:r>
    </w:p>
    <w:p>
      <w:r>
        <w:t>4. VPLYV NA ROZPOČET</w:t>
      </w:r>
    </w:p>
    <w:p>
      <w:r>
        <w:t>Očakáva sa, že navrhovaná iniciatíva bude mať počas siedmich rokov celkové finančné dôsledky vo výške približne 163,5 milióna EUR vrátane ročnej miery inflácie vo výške 2 %.[12] Tento rozpočet pokrýva približne 142,2 milióna EUR na operačné rozpočtové prostriedky a približne 21,3 milióna EUR na ľudské zdroje. Ako sa uvádza v LFDS, plánované ročné rozdelenie je približne 22,0 milióna EUR v roku 2028, 22,4 milióna EUR v roku 2029, 22,9 milióna EUR v roku 2030, 23,3 milióna EUR v roku 2031, 23,8 milióna EUR v roku 2032, 24,3 milióna EUR v roku 2032 a 24,8 milióna EUR v roku 2034.</w:t>
      </w:r>
    </w:p>
    <w:p>
      <w:r>
        <w:t>Očakáva sa, že rozpočet sa bude financovať z viacročného finančného rámca na roky 2028 – 2034. Odhadovaný vplyv na rozpočet nemá vplyv na budúci viacročný finančný rámec. Zdroj financovania a rozsah finančného záväzku Únie v období po roku 2027 naďalej závisia od výsledku medziinštitucionálnych rokovaní o VFR na roky 2028 – 2034 a následne sa určia v rámci ročného rozpočtového postupu.</w:t>
      </w:r>
    </w:p>
    <w:p>
      <w:r>
        <w:t>5. INÉ PRVKY</w:t>
      </w:r>
    </w:p>
    <w:p>
      <w:r>
        <w:t>• Plány vykonávania a mechanizmy monitorovania, hodnotenia a podávania správ</w:t>
      </w:r>
    </w:p>
    <w:p>
      <w:r>
        <w:t>S cieľom zabezpečiť účinné vykonávanie sa v tomto nariadení stanovuje fázový prístup pre tie prvky, ktoré si vyžadujú technický rozvoj alebo inštitucionálne úpravy, najmä digitálny ekosystém vrátane elektronickej služby oprávnenosti a národné dátové priestory pre verejné obstarávanie a dátový priestor pre verejné obstarávanie. Komisia bude podporovať vykonávanie prostredníctvom delegovaných a vykonávacích aktov, usmernení, technických špecifikácií, normalizačnej práce a prípadne operačných nástrojov a digitálnych služieb.</w:t>
      </w:r>
    </w:p>
    <w:p>
      <w:r>
        <w:t>Od členských štátov sa bude vyžadovať, aby určili národný koordinačný orgán a zaviedli mechanizmy riadenia potrebné na zabezpečenie účinnej koordinácie medzi orgánmi a subjektmi zapojenými do uplatňovania tohto nariadenia. Takisto sa od nich bude vyžadovať, aby podporovali profesionalizáciu obstarávania, a to aj prostredníctvom národných stratégií a vhodných podporných štruktúr, a aby zabezpečili, že príslušní aktéri budú schopní účinne uplatňovať nový rámec.</w:t>
      </w:r>
    </w:p>
    <w:p>
      <w:r>
        <w:t>Týmto nariadením sa stanovuje posilnený rámec monitorovania založený na štruktúrovaných údajoch o verejnom obstarávaní. Od každého členského štátu sa bude vyžadovať, aby zriadil alebo určil národný dátový priestor pre verejné obstarávanie ako centrálny národný prístupový bod pre údaje o verejnom obstarávaní a životnom cykle zmlúv. Tieto vnútroštátne dátové priestory budú podkladom pre dátový priestor pre verejné obstarávanie na úrovni Únie, ktorý bude spravovať Komisia. To umožní systematickejšie monitorovanie trhov verejného obstarávania, výsledkov strategického obstarávania, hospodárskej súťaže, cezhraničnej účasti, prístupu MSP a rizík ovplyvňujúcich integritu, odolnosť a bezpečnosť dodávok.</w:t>
      </w:r>
    </w:p>
    <w:p>
      <w:r>
        <w:t>Od členských štátov sa bude vyžadovať, aby vytvorili rámec založený na dôkazoch na monitorovanie fungovania svojich systémov a trhov verejného obstarávania a aby výsledky tohto monitorovania zverejňovali aspoň raz ročne. Členské štáty podajú Komisii správu o výsledkoch týchto analýz a o prijatých alebo plánovaných opatreniach na riešenie zistených štrukturálnych nedostatkov.</w:t>
      </w:r>
    </w:p>
    <w:p>
      <w:r>
        <w:t>Komisia bude priebežne monitorovať fungovanie verejného obstarávania v Únii na základe údajov dostupných v dátovom priestore pre verejné obstarávanie. Každé tri roky poskytne analýzu systému verejného obstarávania v celej Únii.</w:t>
      </w:r>
    </w:p>
    <w:p>
      <w:r>
        <w:t>Okrem toho sa v tomto nariadení vyžaduje, aby Komisia vykonala hodnotenie sedem rokov po nadobudnutí jeho účinnosti a potom každých sedem rokov.</w:t>
      </w:r>
    </w:p>
    <w:p>
      <w:r>
        <w:t>• Podrobné vysvetlenie konkrétnych ustanovení návrhu</w:t>
      </w:r>
    </w:p>
    <w:p>
      <w:r>
        <w:t>V časti I sa stanovujú všeobecné ustanovenia o predmete úpravy, rozsahu pôsobnosti, najmä príslušné prahové hodnoty a mechanizmy na ich aktualizáciu, zásady a vymedzenia pojmov. V tomto nariadení sa vyžaduje, aby obstarávatelia zaobchádzali s hospodárskymi subjektmi Únie a dotknutými hospodárskymi subjektmi rovnako a nediskriminačne, konali transparentne a primerane a zabezpečili integritu postupov verejného obstarávania. Verejné zákazky musia zabezpečiť najlepšiu kvalitu za vynaložené peniaze, zabrániť neprimeraným obmedzeniam hospodárskej súťaže a musia byť zamerané na prispievanie k dosahovaniu širších politických cieľov Únie).</w:t>
      </w:r>
    </w:p>
    <w:p>
      <w:r>
        <w:t>V časti II sa vymedzujú príslušní aktéri, ktorí sa zúčastňujú na verejnom obstarávaní. Hlava I sa začína vymedzením obstarávateľov, na ktorých sa vzťahujú pravidlá, potom sa vzťahuje na verejnoprospešné služby, zoznam dotknutých odvetví a umožňuje výnimky v prípadoch, keď sú činnosti priamo vystavené hospodárskej súťaži, a stanovuje sa v nej postup podávania žiadosti o výnimku Komisii. Hlava II sa týka hospodárskych subjektov vrátane skupín, využívania kapacít tretích strán a uzatvárania subdodávateľských zmlúv s dobre nastavenými pravidlami vymedzujúcimi používanie tohto nástroja s cieľom zabrániť zneužívaniu. V tejto hlave sa ďalej stanovujú povinné dôvody vylúčenia týkajúce sa závažných trestných činov, ako je korupcia, podvod, terorizmus, obchodovanie s ľuďmi, trestné činy proti životnému prostrediu a vykorisťovanie detí, a nepovinné dôvody vylúčenia, ktoré sa týkajú situácií vyvolávajúcich pochybnosti o spoľahlivosti alebo integrite dotknutého hospodárskeho subjektu. V ustanoveniach o podmienkach účasti sa stanovujú jasné pravidlá týkajúce sa finančnej, technickej a odbornej spôsobilosti hospodárskych subjektov, ktoré môžu obstarávatelia požadovať, ak chcú vo svojich postupoch verejného obstarávania použiť podmienky účasti.</w:t>
      </w:r>
    </w:p>
    <w:p>
      <w:r>
        <w:t>V časti III sa stanovujú pravidlá týkajúce sa postupov. Hlava I sa zaoberá postupmi verejného obstarávania a zahŕňa ustanovenia o plánovaní, trhových konzultáciách, výbere postupov, odhade hodnoty zákazky a vedení rokovaní, ktoré sú povolené vo všetkých postupoch, s primeranými zárukami transparentnosti a nediskriminácie. Tieto postupy zahŕňajú verejnú súťaž, dynamický postup, inovačný postup a zákazky, pri ktorých sa vyžaduje len uverejnenie verejného zhrnutia výsledkov, napríklad v núdzových a krízových situáciách.</w:t>
      </w:r>
    </w:p>
    <w:p>
      <w:r>
        <w:t>Hlava II sa zaoberá strategickým návrhom a vykonávaním verejného obstarávania, pričom sa zefektívňujú príslušné vymedzenia pojmov a ustanovenia s cieľom zohľadniť úvahy týkajúce sa širších politických cieľov Únie:</w:t>
      </w:r>
    </w:p>
    <w:p>
      <w:r>
        <w:t>• Kapitola 1 sa týka zeleného verejného obstarávania. Zahŕňa vymedzenie pojmu „zelená verejnosť“.</w:t>
      </w:r>
    </w:p>
    <w:p>
      <w:r>
        <w:t>obstarávanie a zakotvujú sa v ňom povinnosti týkajúce sa podpory obehového hospodárstva, efektívneho využívania zdrojov, energetickej efektívnosti a požiadaviek na zelené verejné obstarávanie určitých výrobkov.</w:t>
      </w:r>
    </w:p>
    <w:p>
      <w:r>
        <w:t>• Kapitola 2 sa vzťahuje na sociálne zodpovedné verejné obstarávanie vrátane prístupnosti,</w:t>
      </w:r>
    </w:p>
    <w:p>
      <w:r>
        <w:t>vyhradené zákazky pre organizácie, ktorých hlavným cieľom je sociálna a profesionálna integrácia osôb so zdravotným postihnutím alebo znevýhodnených osôb, a zákazky na sociálne, zdravotnícke a vzdelávacie služby.</w:t>
      </w:r>
    </w:p>
    <w:p>
      <w:r>
        <w:t>• Kapitola 3 sa týka verejného obstarávania inovácií. Objasňujú sa v ňom inovačné ciele</w:t>
      </w:r>
    </w:p>
    <w:p>
      <w:r>
        <w:t>v oblasti verejného obstarávania, obstarávania inovácií a práv duševného vlastníctva.</w:t>
      </w:r>
    </w:p>
    <w:p>
      <w:r>
        <w:t>• Kapitola 4 sa zaoberá bezpečnosťou a odolnosťou a objasňuje sa v nej, ako sa bezpečnostné aspekty zohľadňujú</w:t>
      </w:r>
    </w:p>
    <w:p>
      <w:r>
        <w:t>majú sa zohľadniť vo verejnom obstarávaní. Poskytuje neúplný zoznam záujmov bezpečnosti a ochrany verejnosti, ktoré sa majú zohľadniť, a upravuje vypovedanie zmlúv a vylúčenie prevádzkovateľov počas plnenia zmluvy z bezpečnostných dôvodov. Jeho cieľom je takisto zabezpečiť súlad s požiadavkami kybernetickej bezpečnosti a vymedziť odolnosť a bezpečnosť dodávok pre kritické subjekty a infraštruktúry.</w:t>
      </w:r>
    </w:p>
    <w:p>
      <w:r>
        <w:t>• V kapitole 5 sa objasňuje koncepcia európskej preferencie vymedzením zahrnutých hospodárskych</w:t>
      </w:r>
    </w:p>
    <w:p>
      <w:r>
        <w:t>prevádzkovatelia, tovar, služby a práce: ak pochádzajú z tretej krajiny, ktorá je zmluvnou stranou Dohody WTO o vládnom obstarávaní, alebo z tretej krajiny, ktorá s Úniou uzavrela dvojstrannú alebo mnohostrannú obchodnú dohodu. Stanovujú sa v ňom európske preferenčné požiadavky vrátane možnosti obmedziť alebo zamietnuť určité hospodárske subjekty a ponuky. Poskytuje aj rámec pre povinnú európsku preferenciu v odvetvových právnych aktoch EÚ a zároveň stanovuje výnimky v prípadoch, keď sa obstarávatelia môžu rozhodnúť neuplatňovať európsku preferenciu.</w:t>
      </w:r>
    </w:p>
    <w:p>
      <w:r>
        <w:t>V hlave III sa stanovujú horizontálne ustanovenia vzťahujúce sa na kľúčové aspekty procesu verejného obstarávania vrátane vylúčených a zmiešaných zákaziek, medzi ktoré patria zákazky v oblasti obrany a bezpečnosti, ale aj rôzne služby, na ktoré sa nevzťahujú pravidlá verejného obstarávania, ako sú právne služby, rozhodcovské a zmierovacie služby, pracovné zmluvy atď. V tomto nariadení sa objasňuje dôležitý pojem súvislosti medzi predmetom zákazky a stanovujú sa jasné ustanovenia o technických špecifikáciách vrátane používania noriem a značiek a o kritériách na vyhodnotenie ponúk, najmä o používaní kritérií kvality prostredníctvom BPQR. V hlave III sa ďalej upravujú ďalšie aspekty vykonávania postupov vrátane dôvernosti, konfliktov záujmov, predchádzajúceho zapojenia hospodárskych subjektov, lehôt, súťažných podkladov, rozdelenia na časti, ponúk s neobvykle nízkou cenou, opráv a zrušení a rámcových dohôd. Napokon sa zaoberá plnením zmlúv vrátane úpravy a ukončenia zmlúv, mechanizmov úprav, platieb a požiadaviek na uverejňovanie a dokumentáciu.</w:t>
      </w:r>
    </w:p>
    <w:p>
      <w:r>
        <w:t>V časti IV sa upravujú koncesie, špecifikujú výnimky a stanovujú pravidlá týkajúce sa postupov prípravy, návrhu a udeľovania vrátane štruktúrovaného posúdenia rizika. Vzťahuje sa aj na trvanie koncesie a správu zmlúv (ako sú úpravy a vypovedanie).</w:t>
      </w:r>
    </w:p>
    <w:p>
      <w:r>
        <w:t>V časti V sa vymedzuje rámec pre digitálny ekosystém, ktorý udržuje vykonávanie tohto nariadenia. Vytvárajú sa ním pravidlá interoperability pre bezpečnú sieť na výmenu údajov o verejnom obstarávaní. To umožňuje elektronickú komunikáciu medzi obstarávateľmi a hospodárskymi subjektmi prostredníctvom rôznych poskytovateľov služieb elektronického obstarávania. Stanovujú sa v ňom aj povinnosti Komisie pomáhať poskytovateľom pri kontrole oprávnenosti (dôvody vylúčenia, výberové kritériá, požiadavky na pôvod).</w:t>
      </w:r>
    </w:p>
    <w:p>
      <w:r>
        <w:t>Časť VI sa týka transparentnosti a riadenia. Pravidlami týkajúcimi sa dátových priestorov (hlava I) sa upravuje zriadenie a funkcie vnútroštátnych dátových priestorov pre verejné obstarávanie na jednej strane a dátového priestoru pre verejné obstarávanie zriadeného Komisiou, centrálneho registra informácií o verejnom obstarávaní pochádzajúcich zo všetkých NPPDS na monitorovanie postupov verejného obstarávania a zákaziek na úrovni Únie na strane druhej. V hlave II sa stanovujú rôzne nástroje a mechanizmy riadenia, ktoré umožňujú pravidelné monitorovanie systému verejného obstarávania s cieľom posúdiť výkonnosť a podporiť zlepšenia; to zahŕňa určenie národného koordinačného orgánu, ktorý bude dohliadať na vykonávanie a koordinovať ho; a vhodné opatrenia na posilnenie profesionalizácie verejného obstarávania ako dlhodobých a strategických prvkov verejnej správy.</w:t>
      </w:r>
    </w:p>
    <w:p>
      <w:r>
        <w:t>V časti VII sa stanovujú záverečné ustanovenia, určuje sa vykonávanie delegovania právomoci a Komisii sa udeľuje právomoc prijímať delegované akty. Týmto nariadením sa zrušuje smernica 2014/23/EÚ, smernica 2014/24/EÚ a smernica 2014/25/EÚ a menia sa horizontálne ustanovenia o verejnom obstarávaní zahrnuté v nariadení (EÚ) 2014/1781, nariadení (EÚ) 2024/1735 a nariadení</w:t>
      </w:r>
    </w:p>
    <w:p>
      <w:r>
        <w:t>(EÚ) 2023/1542, nariadenie (EÚ) 2024/3110, nariadenie (EÚ) 2025/40, smernica 2023/1791, smernica 2008/98/ES, nariadenie (EÚ) 2024/1252, smernica 2019/882, smernica 2022/2381, nariadenie (EÚ) 2024/2847, smernica (EÚ) 2024/1760, nariadenie (EÚ) 2024/1157; mení sa ním aj nariadenie 1370/2007. Napokon sa v ňom stanovuje cieľ preskúmania sedem rokov po prijatí a odklad začatia uplatňovania o dva roky.</w:t>
      </w:r>
    </w:p>
    <w:p>
      <w:r>
        <w:t>2026/0265 (COD)</w:t>
      </w:r>
    </w:p>
    <w:p>
      <w:pPr>
        <w:pStyle w:val="Heading3"/>
        <w:jc w:val="center"/>
      </w:pPr>
      <w:r>
        <w:t>Návrh</w:t>
      </w:r>
    </w:p>
    <w:p>
      <w:r>
        <w:t>NARIADENIE EURÓPSKEHO PARLAMENTU A RADY</w:t>
      </w:r>
    </w:p>
    <w:p>
      <w:r>
        <w:t>o verejných zákazkách a koncesiách a o zrušení smerníc 2014/23/EÚ, 2014/24/EÚ a</w:t>
      </w:r>
    </w:p>
    <w:p>
      <w:r>
        <w:t>2014/25/EÚ a o zmene nariadení (ES) č. 1370/2007, (EÚ) 2023/1542, (EÚ) 2024/1157, (EÚ) 2024/1252, (EÚ) 2024/1735, (EÚ) 2024/1781, (EÚ) 2024/2847, (EÚ)</w:t>
      </w:r>
    </w:p>
    <w:p>
      <w:r>
        <w:t>2024/3110 a (EÚ) 2025/40 a smernice 2008/98/ES, (EÚ) 2019/882 a (EÚ) 2022/2381,</w:t>
      </w:r>
    </w:p>
    <w:p>
      <w:pPr>
        <w:pStyle w:val="Heading3"/>
        <w:jc w:val="center"/>
      </w:pPr>
      <w:r>
        <w:t>(EÚ) 2023/1791 a (EÚ) 2024/1760 (akt o verejnom obstarávaní)</w:t>
      </w:r>
    </w:p>
    <w:p>
      <w:r>
        <w:t>(Text s významom pre EHP)</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Osobitná správa o verejnom obstarávaní v EÚ za rok 2023, https://www.eca.europa.eu/en/publications?ref=SR-2023-28.</w:t>
      </w:r>
    </w:p>
    <w:p>
      <w:r>
        <w:rPr>
          <w:sz w:val="16"/>
        </w:rPr>
        <w:t>6 consilium.europa.eu/en/press/press-releases/2024/05/24/council-adopts-conclusions-on-the-court-of- Auditers-report-on-public-procurement/pdf/.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 verejné obstarávanie – právny rámec.</w:t>
      </w:r>
    </w:p>
    <w:p>
      <w:r>
        <w:rPr>
          <w:sz w:val="16"/>
        </w:rPr>
        <w:t>10 https://commission.europa.eu/publications/simpler-clearer-and-better-enforced-eu-rulebook_en.</w:t>
      </w:r>
    </w:p>
    <w:p>
      <w:r>
        <w:rPr>
          <w:sz w:val="16"/>
        </w:rPr>
        <w:t>11 Vec C-652/22, Kolin İnĚaat Turizm Sanayi ve Ticaret Aâ/Štátna komisia pre dohľad nad postupmi verejného obstarávania; Vec C-266/22, CRRC Qingdao Sifang Co. Ltd a Astra Vagoane Călători SA/Autoritata pentru Reformă Feroviară a Alstom Ferroviaria SpA.</w:t>
      </w:r>
    </w:p>
    <w:p>
      <w:r>
        <w:rPr>
          <w:sz w:val="16"/>
        </w:rPr>
        <w:t>12 Rozdiel v nákladoch uvedených v legislatívnom finančnom výkaze a v posúdení vplyvu vyplýva z toho, že legislatívny finančný výkaz zahŕňa všetky náklady, zatiaľ čo v posúdení vplyvu sa zohľadňujú len dodatočné náklady zavedené politickými opatreniami nad rámec tzv. bežných nákladov. Existujú aj malé rozdiely v klasifikácii a prezentácii nákladov vyplývajúce z požiadaviek nariadenia o rozpočtových pravidlách.</w:t>
      </w:r>
    </w:p>
    <w:p>
      <w:r>
        <w:t>EURÓPSKY PARLAMENT A RADA EURÓPSKEJ ÚNIE,</w:t>
      </w:r>
    </w:p>
    <w:p>
      <w:r>
        <w:t>So zreteľom na Zmluvu o fungovaní Európskej únie, a najmä na jej článok 114,</w:t>
      </w:r>
    </w:p>
    <w:p>
      <w:r>
        <w:t>So zreteľom na návrh Európskej komisie,</w:t>
      </w:r>
    </w:p>
    <w:p>
      <w:r>
        <w:t>Po postúpení návrhu legislatívneho aktu národným parlamentom,</w:t>
      </w:r>
    </w:p>
    <w:p>
      <w:r>
        <w:t>So zreteľom na stanovisko Európskeho hospodárskeho a sociálneho výboru,</w:t>
      </w:r>
    </w:p>
    <w:p>
      <w:r>
        <w:t>So zreteľom na stanovisko Výboru regiónov,</w:t>
      </w:r>
    </w:p>
    <w:p>
      <w:r>
        <w:t>Konajúc v súlade s riadnym legislatívnym postupom,</w:t>
      </w:r>
    </w:p>
    <w:p>
      <w:r>
        <w:t>Keďže</w:t>
      </w:r>
    </w:p>
    <w:p>
      <w:r>
        <w:t>(1) Zadávanie verejných zákaziek a koncesií orgánmi členských štátov alebo v ich mene musí byť v súlade so zásadami stanovenými v Zmluve o fungovaní Európskej únie (ďalej len „zmluva“), a najmä so zásadami voľného pohybu tovaru, slobody usadiť sa a slobody poskytovať služby, ako aj so zásadami, ktoré z nich vyplývajú, ako sú rovnaké zaobchádzanie, nediskriminácia, vzájomné uznávanie, proporcionalita a transparentnosť. V prípade postupov verejného obstarávania pre verejné zákazky a koncesie presahujúce určitú peňažnú hodnotu je potrebné stanoviť harmonizované pravidlá pre postupy verejného obstarávania s cieľom odstrániť prekážky fungovania vnútorného trhu a zabrániť vzniku nových prekážok vo forme regulačných rozdielov medzi členskými štátmi, a to aj pokiaľ ide o dosahovanie strategických politických cieľov. V hodnotení súčasných existujúcich smerníc Parlamentu a Rady 2014/23/EÚ[1], 2014/24/EÚ[2] a 2014/25/EÚ[3] z roku 2014 sa potvrdilo, že dnešné pravidlá verejného obstarávania poznajú značné nedostatky. Zistila, že ich zložitosť a nedostatočná flexibilita vytvárajú značnú právnu neistotu pre obstarávateľov aj hospodárske subjekty. Naďalej prevládajú len ceny a zavádzanie sociálnych, environmentálnych a inovačných požiadaviek je naďalej obmedzené. Pravidlá prístupu na trh pre spoločnosti z krajín mimo EÚ nie sú dostatočne jasné a už účinne nereagujú na súčasnú geopolitickú realitu. Roztrieštené systémy elektronického obstarávania bránia riadnej transparentnosti a účinnému monitorovaniu a dohľadu a napriek zlepšeniam transparentnosti chýbajúce údaje a problémy s kvalitou na úrovni EÚ aj na vnútroštátnej úrovni bránia účinnej správe vecí verejných, strategickému rozhodovaniu a predchádzaniu korupcii. Cieľom tohto nariadenia je riešiť tieto výzvy a očakáva sa, že zabezpečí ďalšie otvorenie verejného obstarávania hospodárskej súťaži a zároveň bude slúžiť ako nástroj na efektívne verejné investície v súlade so širšími politickými cieľmi EÚ. Povinnosti vyplývajúce z iných právnych predpisov Únie sa naďalej uplatňujú a zostávajú nedotknuté.</w:t>
      </w:r>
    </w:p>
    <w:p>
      <w:r>
        <w:t>(2) Týmto nariadením sa majú stanoviť pravidlá postupov verejného obstarávania pre verejné zákazky a koncesie presahujúce určité finančné limity. Pokiaľ ide o zákazky, na ktoré sa toto nariadenie nevzťahuje, členské štáty majú naďalej možnosť regulovať zadávanie takýchto zákaziek pod podmienkou zabezpečenia dodržiavania akýchkoľvek uplatniteľných právnych predpisov Únie vrátane zásad zmluvy v prípade cezhraničného záujmu. Týmto nariadením sa stanovujú procesné pravidlá zadávania zákaziek a koncesií, na ktoré sa vzťahuje, ako aj aspekty plánovania a plnenia týchto zákaziek súvisiace s obstarávaním, stanovuje sa spôsob zohľadnenia širších politických cieľov a stanovuje sa rámec pre spoločný digitálny ekosystém, ktorý sa má používať pri ich plánovaní, zadávaní a vykonávaní, ako aj mechanizmy a požiadavky na zabezpečenie efektívnosti a zodpovednosti verejného obstarávania. Naopak, týmto nariadením by sa nemalo regulovať celkové administratívne prostredie, v ktorom sa tieto postupy verejného obstarávania uskutočňujú. Vnútroštátne pravidlá fungovania a organizácie verejnej správy vo všeobecnosti, najmä tie, ktoré sa týkajú rozpočtových a finančných kontrol a rozhodovacích štruktúr vo verejnej správe, preto zostávajú nedotknuté. Vnútroštátne občianske právo a všeobecné pravidlá týkajúce sa zmluvných vzťahov, ktoré sú súčasťou širšieho vnútroštátneho právneho rámca, v ktorom sa budú uplatňovať pravidlá stanovené v tomto nariadení, zostávajú takisto nedotknuté.</w:t>
      </w:r>
    </w:p>
    <w:p>
      <w:r>
        <w:t>(3) Malo by sa pripomenúť, že žiadne ustanovenie tohto nariadenia nezaväzuje členské štáty, aby zmluvne zabezpečili alebo externalizovali poskytovanie služieb, ktoré si želajú poskytovať samy alebo organizovať inými prostriedkami ako verejnými zákazkami v zmysle tohto nariadenia. Táto smernica by sa nemala vzťahovať na poskytovanie služieb vyplývajúce zo zákonov, iných právnych predpisov či zamestnaneckých zmlúv. V niektorých členských štátoch to môže byť prípad určitých administratívnych a vládnych služieb, ako sú výkonné a legislatívne služby, poskytovanie určitých služieb komunite, ako sú služby v oblasti zahraničných vecí alebo justičné služby alebo služby povinného sociálneho zabezpečenia.</w:t>
      </w:r>
    </w:p>
    <w:p>
      <w:r>
        <w:t>(4) Toto nariadenie by nemalo mať vplyv na právne predpisy členských štátov v oblasti sociálneho zabezpečenia, ani by sa nemalo zaoberať liberalizáciou služieb všeobecného hospodárskeho záujmu, ktoré sú vyhradené pre verejné alebo súkromné subjekty, alebo privatizáciou verejných subjektov poskytujúcich služby. Členské štáty môžu organizovať poskytovanie povinných sociálnych služieb alebo iných služieb buď ako služieb všeobecného hospodárskeho záujmu, alebo ako služieb všeobecného záujmu nehospodárskeho charakteru, alebo ako ich kombináciu. Služby všeobecného záujmu nehospodárskeho charakteru by nemali patriť do rozsahu pôsobnosti tohto nariadenia.</w:t>
      </w:r>
    </w:p>
    <w:p>
      <w:r>
        <w:t>(5) Rozhodnutím Rady 94/800/ES[4] sa okrem iného schválilo uzavretie Dohody Svetovej obchodnej organizácie o vládnom obstarávaní (ďalej len „GPA“) v mene Únie. GPA vytvára multilaterálny rámec vyvážených práv a povinností týkajúcich sa verejných zákaziek s cieľom dosiahnuť liberalizáciu a expanziu svetového obchodu. V prípade zákaziek, na ktoré sa vzťahujú prílohy 1, 2, 4 a 5 a všeobecné poznámky k dodatku I Únie ku GPA, ako aj iné príslušné medzinárodné dohody, ktorými je Únia viazaná, by obstarávatelia mali na účely splnenia povinností vyplývajúcich z uvedených dohôd uplatňovať toto nariadenie na hospodárske subjekty tretích krajín, ktoré sú zmluvnými stranami dohôd. Všetky nové prvky zavedené v tomto nariadení boli navrhnuté s cieľom zabezpečiť úplné zosúladenie so záväzkami Únie podľa dohody GPA.</w:t>
      </w:r>
    </w:p>
    <w:p>
      <w:r>
        <w:t>(6) Finančné limity stanovené v tomto nariadení by mali slúžiť na určenie zákaziek a koncesií, na ktoré sa vzťahuje celý súbor pravidiel Únie v oblasti verejného obstarávania. Tieto prahové hodnoty by mali naďalej odrážať medzinárodné záväzky Únie v rámci GPA a zároveň zabezpečovať právnu istotu a administratívnu uskutočniteľnosť. S cieľom zabezpečiť súlad s medzinárodnými záväzkami Únie podľa GPA by sa prahové hodnoty uplatniteľné na verejné obstarávanie mali zosúladiť s prahovými hodnotami vyjadrenými v zvláštnych právach čerpania (ZPČ) vymedzených Medzinárodným menovým fondom, a preto by sa mali pravidelne revidovať na základe priemernej hodnoty eura voči zvláštnym právam čerpania (ZPČ). Okrem týchto pravidelných matematických úprav Komisia spolu s partnermi GPA preskúma otázku zvýšenia prahových hodnôt stanovených v GPA.</w:t>
      </w:r>
    </w:p>
    <w:p>
      <w:r>
        <w:t>(7) S cieľom zabezpečiť riadne fungovanie vnútorného trhu Únie v oblasti verejného obstarávania by sa verejné obstarávanie malo riadiť zásadou najlepšej kvality pre verejné peniaze, čím by slúžilo cieľu efektívnych verejných výdavkov a investícií, a obstarávatelia by mali zaobchádzať s hospodárskymi subjektmi, ktoré pochádzajú z Únie, tretej krajiny, ktorá je zmluvnou stranou Dohody o vládnom obstarávaní, alebo tretej strany, ktorá uzavrela dvojstrannú alebo mnohostrannú obchodnú dohodu s Úniou, za podmienok stanovených v uvedenej dohode, rovnako a bez diskriminácie, pričom by mali konať transparentným a primeraným spôsobom. Obstarávatelia by takisto mali prijať vhodné opatrenia na ochranu integrity, nestrannosti a spravodlivosti procesu obstarávania a nemali by navrhovať svoje obstarávanie s cieľom vylúčiť ho z rozsahu pôsobnosti tohto nariadenia alebo neprimerane obmedziť hospodársku súťaž. Dodržiavanie týchto zásad je nevyhnutné na zaručenie účinnej hospodárskej súťaže, odstránenie prekážok prístupu na trh a predchádzanie týmto prekážkam a na pomoc pri zabezpečovaní efektívnych verejných investícií.</w:t>
      </w:r>
    </w:p>
    <w:p>
      <w:r>
        <w:t>(8) Verejné obstarávanie predstavuje kľúčový nástroj na dosiahnutie strategických politických cieľov Únie. Je potrebné regulovať strategické využívanie verejného obstarávania, aby sa zabránilo tomu, že rozdielne postupy obstarávateľov v celej Únii budú vytvárať prekážky vnútornému trhu. Postupy verejného obstarávania by sa mali riadiť cieľmi politiky Únie vrátane posilnenia konkurencieschopnosti vnútorného trhu, podpory inovácií a čistej priemyselnej základne, dosiahnutia cieľov v oblasti klímy a životného prostredia, spravodlivej a inkluzívnej spoločnosti, najmä spravodlivých pracovných podmienok, a to aj s podporou sociálneho dialógu, a zvýšenia bezpečnosti, ochrany, odolnosti a hospodárskej bezpečnosti Únie, a to aj prostredníctvom strategickej nezávislosti. Vzhľadom na rozmanitosť vnútroštátnych systémov a rešpektujúc autonómiu sociálnych partnerov môžu obstarávatelia využívať sociálne zodpovedné verejné obstarávanie na podporu vysokokvalitných pracovných miest a sociálnej spravodlivosti, a to aj uznaním úlohy kolektívneho vyjednávania.</w:t>
      </w:r>
    </w:p>
    <w:p>
      <w:r>
        <w:t>(9) Je vhodné zachovať pravidlá obstarávania subjektmi pôsobiacimi v odvetviach verejnoprospešných služieb, ktorými sú voda, energetika vrátane plynu chápané ako zemný plyn alebo akýkoľvek iný plyn, doprava a poštové služby, keďže vnútroštátne orgány sú naďalej schopné riadiť správanie týchto subjektov a/alebo existenciu osobitných alebo výlučných práv. Sektoroví obstarávatelia by mali byť vyňatí z tohto nariadenia, ak sú činnosti, ktoré vykonávajú, priamo vystavené hospodárskej súťaži na trhoch, na ktoré nie je obmedzený prístup. To, či je dané odvetvie alebo jeho časti priamo vystavené hospodárskej súťaži, by sa malo posudzovať vzhľadom na konkrétnu oblasť, v ktorej sa činnosť alebo jej príslušné časti vykonávajú. Takzvaným „relevantným geografickým trhom“ je buď územie členského štátu, alebo jeho časti. Pojem „relevantný geografický trh“ by mal vychádzať z podobných kritérií stanovených v iných právnych predpisoch Únie.</w:t>
      </w:r>
    </w:p>
    <w:p>
      <w:r>
        <w:t>(10) Priame vystavenie hospodárskej súťaži by mala posúdiť Komisia na žiadosť členského štátu alebo sektorového obstarávateľa. S cieľom zabezpečiť ľahkú dostupnosť postupu na určenie toho, že toto nariadenie sa nevzťahuje na určitú činnosť, by sa malo objasniť, že rozhodnutie o výnimke sa môže prijať už v prípravnej fáze pred samotným predložením formálnej žiadosti v situáciách, keď Komisia na základe informácií, ktoré už má k dispozícii, môže dospieť k záveru, že podmienky na udelenie výnimky pre danú činnosť sú splnené. Okrem toho, aby sa Komisii uľahčilo posúdenie vo formálnej fáze, je vhodnejšie, aby k žiadostiam o výnimku bolo priložené alebo aby obsahovali odôvodnené a podložené nedávne stanovisko k situácii v oblasti hospodárskej súťaže v dotknutom odvetví, ktoré prijal nezávislý vnútroštátny orgán, ktorý je príslušný vo vzťahu k dotknutej činnosti alebo na uplatňovanie pravidiel hospodárskej súťaže, alebo oboje. Ak sa okolnosti, ktoré sú základom vykonávacieho aktu, ktorým sa stanovuje, že toto nariadenie sa neuplatňuje na určitú činnosť, podstatne zmenia, takýto vykonávací akt sa môže zmeniť, opraviť alebo zrušiť.</w:t>
      </w:r>
    </w:p>
    <w:p>
      <w:r>
        <w:t>(11) Na zlepšenie prístupu k obchodným príležitostiam vo verejnom obstarávaní a zvýšenie hospodárskej súťaže pri zadávaní zákaziek by sa mala ďalej uľahčovať účasť skupín hospodárskych subjektov. To má osobitný význam pre mikropodniky a malé a stredné podniky (MSP), ktoré často čelia ťažkostiam pri prístupe k väčším možnostiam verejného obstarávania. Pravidlá, ktorými sa riadia hospodárske subjekty zúčastňujúce sa spoločne na postupe obstarávania, by preto mali byť jasné a jednoduché, pričom by sa malo zabezpečiť, aby sa ukladali len požiadavky, ktoré sú potrebné a primerané na riadne plnenie zákazky.</w:t>
      </w:r>
    </w:p>
    <w:p>
      <w:r>
        <w:t>(12) Zadávanie častí zákazky subdodávateľom zostáva praktickým a účinným nástrojom spolupráce medzi hospodárskymi subjektmi. Pravidlá zadávania zákaziek subdodávateľom stanovené v tomto nariadení by mali zachovať zmluvnú slobodu a uľahčiť prístup pre MSP, čo im umožní účinne sa zúčastňovať na verejnom obstarávaní a súvisiacich dodávateľských reťazcoch. Podľa tohto nariadenia by sa však nemalo povoliť zadávanie celej zákazky subdodávateľom, najmä s cieľom zabrániť zneužívaniu zadávania zákaziek subdodávateľom, najmä v odvetviach, ktoré môžu byť zraniteľnejšie voči pracovnému vykorisťovaniu v dôsledku tlaku na náklady a zložitých subdodávateľských reťazcov. S cieľom zabezpečiť lepšiu transparentnosť subdodávok by obstarávatelia mali od uchádzačov vyžadovať, aby uviedli akýkoľvek zamýšľaný podiel subdodávok a všetkých navrhovaných subdodávateľov. Ak sa tak stanovuje vo vnútroštátnom práve, obstarávatelia by mali mať možnosť požadovať od hlavného dodávateľa, aby ich po zadaní zákazky a pred jej vykonaním informoval o úlohách, ktoré sa majú zadať subdodávateľom, a o totožnosti subdodávateľov nad rámec prípadov stanovených v tomto nariadení. Pravidlami pre zadávanie zákaziek subdodávateľom v tomto nariadení nie sú dotknuté existujúce pravidlá v oblasti zamestnanosti a sociálnej ochrany uplatniteľné na úrovni Únie a na vnútroštátnej úrovni, najmä pokiaľ ide o povinnosti, zodpovednosti a zodpovednosť zamestnávateľov v celom subdodávateľskom reťazci.</w:t>
      </w:r>
    </w:p>
    <w:p>
      <w:r>
        <w:t>(13) Hospodárske subjekty by mali byť vylúčené z účasti na konaniach, ak boli právoplatne odsúdené za určité závažné trestné činy. Takzvané samoočistenie by nemalo byť povolené v prípade povinných vylúčení, zatiaľ čo v prípade nepovinných vylúčení, ktoré sa týkajú spoľahlivosti hospodárskych subjektov, by tieto subjekty mali mať možnosť vyvrátiť existenciu dôvodu na vylúčenie, ktorým sa zachováva ich právo na vypočutie, alebo preukázať svoju spoľahlivosť prostredníctvom samoočistenia. V tejto súvislosti by sa mala náležite zohľadniť akákoľvek spolupráca s prešetrujúcimi orgánmi zameraná na objasnenie relevantných skutočností a okolností. Napríklad v prípadoch porušenia pravidiel hospodárskej súťaže môže mať takáto spolupráca formu účasti na programe zhovievavosti alebo konaní o urovnaní pred Komisiou alebo vnútroštátnym orgánom na ochranu hospodárskej súťaže. Najmä priznanie oslobodenia od pokút v rámci programu zhovievavosti by v zásade malo predstavovať presvedčivý dôkaz preukazujúci spoľahlivosť hospodárskeho subjektu napriek existencii dôvodu na vylúčenie. Členské štáty by nemali pridávať ďalšie dôvody vylúčenia založené na kritériách týkajúcich sa odbornej situácie uchádzača.</w:t>
      </w:r>
    </w:p>
    <w:p>
      <w:r>
        <w:t>(14) Podmienky účasti by sa mali naďalej obmedzovať na to, čo je nevyhnutné na zabezpečenie toho, aby mal hospodársky subjekt technickú, odbornú, právnu a finančnú spôsobilosť na plnenie zákazky, aby sa zabezpečil čo najširší prístup k verejnému obstarávaniu, najmä pre MSP. Obstarávatelia by nemali vyžadovať predchádzajúce skúsenosti s verejnými zákazkami ako takými, pokiaľ to nie je prísne odôvodnené zložitosťou zákazky alebo povahou dotknutého predmetu, a mali by sa vyhýbať aj nadmerným finančným požiadavkám, ktoré môžu zbytočne vylúčiť MSP a novšie subjekty vstupujúce na trh z príležitostí na obstarávanie.</w:t>
      </w:r>
    </w:p>
    <w:p>
      <w:r>
        <w:t>(15) S cieľom zjednodušiť a zmodernizovať overovanie oprávnenosti hospodárskych subjektov v postupoch verejného obstarávania by elektronická služba oprávnenosti mala predstavovať hlavný dôkazný prostriedok na preukázanie neexistencie dôvodov na vylúčenie, splnenia podmienok účasti a prípadne splnenia požiadaviek súvisiacich s pôvodom. Digitálny nástroj pre obchodné certifikáty používaný v tejto súvislosti by mal umožniť získavanie štruktúrovaných dôkazov z príslušných vnútroštátnych databáz a databáz Únie, ktoré by mali byť prepojené s elektronickou službou oprávnenosti, aby sa umožnilo používanie automatizovaných overení, ak je to možné. Ak sa overovania zakladajú na osobných údajoch, vnútroštátne právo a právo Únie by mali zahŕňať vhodné záruky na zmiernenie rizík pre jednotlivcov vrátane pravidiel o tom, kto môže mať prístup k údajom a prezerať si ich, ako aj obmedzenie prístupu len na také údaje, ktoré sú potrebné na prístup v rámci rozsahu pôsobnosti tohto nariadenia. Jednotlivci by takisto mali mať možnosť preskúmať výsledok overovania pred tým, ako sa poskytne obstarávateľovi.</w:t>
      </w:r>
    </w:p>
    <w:p>
      <w:r>
        <w:t>(16) Obstarávatelia by sa mali nabádať, aby pred začatím postupov verejného obstarávania uskutočnili trhové konzultácie s cieľom zlepšiť svoje chápanie dostupných trhových riešení, vyspelosti a štruktúry dodávateľských trhov a potenciálnych strategických alebo prevádzkových obmedzení.</w:t>
      </w:r>
    </w:p>
    <w:p>
      <w:r>
        <w:t>(17) Rokovania môžu obstarávateľom umožniť zlepšiť kvalitu, efektívnosť a celkovú hodnotu obstarávaného riešenia, najmä ak si predmet zákazky vyžaduje prispôsobenie sa prevádzkovým potrebám alebo vyváženie strategických aspektov. Možnosť rokovať o riešeniach s postupným znižovaním počtu hospodárskych subjektov v postupe sa zameriava na dosiahnutie širokého prístupu k hospodárskej súťaži, pričom obstarávateľ má možnosť vylepšiť riešenia a zmluvné podmienky prostredníctvom rokovaní, ak to vedie k dosiahnutiu najlepšej kvality za vynaložené peniaze. Zároveň je potrebné objasniť, že na vedenie rokovaní by sa mali naďalej vzťahovať záruky zabezpečujúce rovnaké zaobchádzanie, proporcionalitu a ochranu citlivých obchodných informácií. Rokovania by sa preto mali týkať len nepodstatných charakteristík prác, služieb a tovaru, ktoré sa majú obstarať; a obstarávatelia by mali jasne uviesť všetky nespochybniteľné prvky, ktoré by zase mali zahŕňať základné podmienky zákazky, ktoré sú rozhodujúce pre rozhodnutie hospodárskych subjektov zúčastniť sa na postupe.</w:t>
      </w:r>
    </w:p>
    <w:p>
      <w:r>
        <w:t>(18) Mala by sa zaviesť nová jednoduchá a flexibilná verejná súťaž, ktorá umožní každému hospodárskemu subjektu, ktorý má záujem, vyjadriť záujem a predložiť ponuku, pričom použitie rokovaní a výberových kritérií zostane pre obstarávateľa nepovinné. Verejnou súťažou by sa malo zabezpečiť, aby sa obstarávatelia mohli rozhodnúť neuplatňovať výberové kritériá, ak to nie je potrebné na zabezpečenie dobrých výsledkov obstarávania, čím by sa odstránila jedna z hlavných záťaží pre účasť MSP na verejnom obstarávaní.</w:t>
      </w:r>
    </w:p>
    <w:p>
      <w:r>
        <w:t>(19) Mal by sa zaviesť nový dynamický postup s cieľom poskytnúť obstarávateľom ľahko použiteľný, rýchly a pružný nástroj na obstarávanie od vopred vytvorenej dodávateľskej základne prostredníctvom oslovenia všetkých zainteresovaných hospodárskych subjektov, ktoré sú k dispozícii na plnenie zákazky počas celej jej platnosti, pred jednotlivými zákazkami, ktoré sa majú zadať. Rokovania a používanie výberových kritérií by mali byť pre obstarávateľov nepovinné, ako je to v prípade verejnej súťaže. Hospodárske subjekty by mali mať možnosť vyjadriť svoj záujem jednoduchým a priamym spôsobom jednoducho tým, že svoj profil oprávnenosti poskytnú obstarávateľovi prostredníctvom elektronickej služby oprávnenosti. Vzhľadom na možný veľký počet hospodárskych subjektov, ktoré majú záujem o dynamické postupy, a s cieľom zabezpečiť administratívnu efektívnosť a zaručiť spravodlivosť by obstarávatelia mali mať možnosť v prípade, že počet zainteresovaných dodávateľov prekročí určitú úroveň, prizvať len obmedzený počet dodávateľov. Výber hospodárskych subjektov vyzvaných na predloženie ponuky alebo na rokovanie by sa mal uskutočniť náhodným a nediferencovaným algoritmickým určením alebo v prípadoch, keď sa pripustenie do postupu v prvom rade uskutočňuje na základe podmienok účasti, a to buď bez ďalšieho výberu, alebo na základe objektívnych, nediskriminačných kritérií uvedených vo verejnom zhrnutí súťaže.</w:t>
      </w:r>
    </w:p>
    <w:p>
      <w:r>
        <w:t>(20) Verejné orgány čoraz častejšie čelia zložitým spoločenským výzvam, ktoré si vyžadujú inovatívne a kolaboratívne prístupy presahujúce rámec tradičných postupov obstarávania. Obstarávatelia by mali mať možnosť spoluvytvárať inovačné riešenia, ktoré účinnejšie riešia potreby verejnosti, a to prostredníctvom súťažného konania, v ktorom sú hospodárske subjekty vyzvané, aby vyvíjali riešenia založené na spoločenských výzvach identifikovaných obstarávateľom. Vývoj týchto riešení by mal prebiehať v rôznych fázach vrátane trhovej konzultácie, výberu návrhov inovačných riešení, testovania a validácie a posúdenia návrhov a komerčného nákupu riešenia, ktoré by obstarávatelia mali mať možnosť kúpiť priamo od toho istého hospodárskeho subjektu.</w:t>
      </w:r>
    </w:p>
    <w:p>
      <w:r>
        <w:t>(21) Tento postup umožňuje obstarávateľom kúpiť riešenie, ktoré sa ešte len má vyvinúť a ktoré v rámci toho istého postupu zahŕňa výskum a vývoj tohto riešenia, ako aj všetky kroky vedúce k komerčnému nákupu vrátane tohto nákupu. Inovačný postup sa vzťahuje na celý cyklus inovačného obstarávania, prípadne od veľmi skorých fáz výskumu, pričom predmetom obstarávania je nákup riešenia, ktoré sa ešte len má vyvinúť. Preto sa výrazne líši od obstarávania služieb v oblasti výskumu a vývoja, ktoré zahŕňa obstarávanie vo fáze pred komerčným využitím, ktorého predmetom nie je nákup konečného riešenia, ale služieb v oblasti výskumu a vývoja. Na rozdiel od inovačného postupu preto obstarávanie služieb v oblasti výskumu a vývoja nezahŕňa komerčné zavedenie konečného produktu, ktorý sa ešte len má vyvinúť. Služby výskumu a vývoja vrátane obstarávania vo fáze pred komerčným využitím sú regulované v [európskom inovačnom akte] a mali by byť vylúčené z rozsahu pôsobnosti tohto nariadenia, aby sa zabránilo prekrývaniu. Toto vylúčenie zákaziek na služby v oblasti výskumu a vývoja sa vzťahuje na zákazky na služby v oblasti výskumu a vývoja ako také a nevzťahuje sa na prvky výskumu a vývoja, ktoré sú súčasťou nového inovačného postupu.</w:t>
      </w:r>
    </w:p>
    <w:p>
      <w:r>
        <w:t>(22) Zadávanie verejných zákaziek bez predchádzajúcej hospodárskej súťaže by malo zostať prísne výnimočné a odôvodnené len vtedy, ak je hospodárska súťaž objektívne nemožná alebo zjavne nevhodná a ak sa dodatočná flexibilita nevyužíva na obchádzanie všeobecných zásad transparentnosti, rovnakého zaobchádzania a zdravej hospodárskej súťaže. V núdzových, krízových alebo závažných cezhraničných situáciách môže byť potrebné, aby obstarávatelia rýchlo obstarávali s cieľom zabezpečiť kontinuitu základných služieb, reagovať na naliehavé verejné potreby alebo chrániť verejné zdravie a bezpečnosť. Obstarávatelia by preto mali mať možnosť využiť zjednodušený mechanizmus priameho obstarávania bez toho, aby boli dotknuté iné nástroje Únie upravujúce spoločné obstarávanie alebo reakciu na krízu.</w:t>
      </w:r>
    </w:p>
    <w:p>
      <w:r>
        <w:t>(23) V článku 11 zmluvy sa vyžaduje, aby sa požiadavky ochrany životného prostredia začlenili do vypracovania a vykonávania politík a činností Únie. Politiky Únie by sa preto mali rozvíjať tak, aby podporovali najmä ciele zmiernenia zmeny klímy a adaptácie na ňu vrátane znižovania emisií, udržateľného využívania a ochrany vodných a morských zdrojov, prechodu na obehové hospodárstvo, prevencie a kontroly znečisťovania a ochrany a obnovy biodiverzity a ekosystémov. Zelené verejné obstarávanie by malo prispieť aj k rozvoju vedúcich trhov s udržateľnými biovýrobkami a riešeniami v súlade so stratégiou pre biohospodárstvo. Je potrebné objasniť, ako môžu obstarávatelia prispieť k takýmto cieľom, a zároveň zabezpečiť, aby dosiahli najlepšiu kvalitu za vynaložené peniaze a aby všetky podmienky zostali spojené s predmetom zákazky. Horizontálne požiadavky na environmentálnu udržateľnosť, ktoré boli predtým stanovené v odvetvových právnych predpisoch, najmä pokiaľ ide o energetickú efektívnosť a prechod na obehovejšie hospodárstvo, by sa mali v tomto nariadení stanoviť ako požiadavky na zelené verejné obstarávanie, pričom by sa mala zachovať základná podstata požiadaviek, ktoré boli predtým stanovené v odvetvových právnych predpisoch. S cieľom znížiť administratívnu záťaž a uľahčiť využívanie zeleného verejného obstarávania by obstarávatelia mali mať možnosť využívať existujúce environmentálne požiadavky a kritériá vypracované na úrovni Únie, ako sú technické kritériá preskúmania stanovené v nariadení.</w:t>
      </w:r>
    </w:p>
    <w:p>
      <w:r>
        <w:t>(EÚ) 2020/852 alebo dobrovoľné kritériá zeleného verejného obstarávania EÚ vypracované Komisiou.</w:t>
      </w:r>
    </w:p>
    <w:p>
      <w:r>
        <w:t>(24) Vzhľadom na kľúčovú úlohu odolných potravinových systémov pri zaisťovaní potravinovej bezpečnosti a ochrane verejného zdravia sa v tomto nariadení uznáva význam aspektov hospodárskej, klimatickej, environmentálnej a sociálnej udržateľnosti pri obstarávaní potravín. Tieto úvahy týkajúce sa konkrétnych potravín môžu v rozsahu, v akom súvisia s predmetom zákazky, zahŕňať spravodlivosť a transparentnosť v potravinových dodávateľských reťazcoch, metódach ekologickej výroby, systémoch kvality, výživovej hodnote a účinkoch na zdravie, čerstvosti a sezónnosti, organizácii potravinových dodávateľských reťazcov alebo dobrých životných podmienkach zvierat. To môže zohrávať dôležitú úlohu pri približovaní spotrebiteľov, najmä v prostrediach, ako sú školy a nemocnice, k udržateľnej výrobe potravín. Vzhľadom na veľmi obmedzený cezhraničný rozmer obstarávania služieb súvisiacich s distribúciou potravín, ako sú stravovacie služby, stravovacie služby, služby školského stravovania, reštauračné služby a služby jedla na kolesách, podlieha postupu priameho zadania zákazky, v rámci ktorého majú obstarávatelia široký priestor na zohľadnenie a zohľadnenie osobitných aspektov potravín.</w:t>
      </w:r>
    </w:p>
    <w:p>
      <w:r>
        <w:t>(25) V prípade určitých výrobkov alebo skupín výrobkov, pre ktoré sa v právnych predpisoch Únie stanovujú environmentálne požiadavky a ktoré obsahujú splnomocnenia pre Komisiu, aby v tejto súvislosti zakotvila osobitné pravidlá pre obstarávateľov, je vhodné konsolidovať tieto splnomocnenia v tomto nariadení, ktorým by sa preto malo stanoviť horizontálne splnomocnenie vzťahujúce sa na predmetné výrobky. V súlade s logikou odvetvových právnych predpisov by toto splnomocnenie malo Komisii umožniť stanoviť osobitné požiadavky na zelené verejné obstarávanie pre výrobky, na ktoré sa vzťahuje, ak je to potrebné na zabránenie fragmentácii vnútorného trhu a podporu dopytu po určitých výrobkoch. Toto splnomocnenie by malo Komisii umožniť prijímať delegované akty, ak je to potrebné na úplné zachovanie podstaty ustanovení, ktoré boli predtým zakotvené v odvetvových právnych predpisoch, ako je energetická účinnosť pneumatík.</w:t>
      </w:r>
    </w:p>
    <w:p>
      <w:r>
        <w:t>(26) S cieľom uľahčiť obstarávateľom a umožniť im zohľadniť sociálne aspekty, ak je to relevantné vzhľadom na predmet zákazky a v súlade so zásadami, ktorými sa riadi verejné obstarávanie, sa v tomto nariadení spájajú do osobitnej sociálnej kapitoly sociálne ciele EÚ horizontálnej povahy. Medzi tieto ciele patrí sociálne začlenenie, kvalitné pracovné miesta a dôstojné pracovné podmienky, prístupnosť pre osoby so zdravotným postihnutím, rodová rovnosť a nediskriminácia, odborná príprava, podpora sociálneho hospodárstva, ako sa uvádza v odporúčaní Rady C/2023/1344[5], a účinná ochrana ľudských práv v príslušných dodávateľských reťazcoch. Treba zdôrazniť, že Únia uznáva a podporuje úlohu sociálnych partnerov na svojej úrovni, pričom zohľadňuje rozmanitosť vnútroštátnych systémov. Požiadavky na prístupnosť by mali mať aj naďalej povinný charakter pri verejnom obstarávaní tovaru, služieb a prác určených na použitie fyzickými osobami.</w:t>
      </w:r>
    </w:p>
    <w:p>
      <w:r>
        <w:t>(27) Využitím verejnej kúpnej sily na rýchle zavedenie inovačných riešení na trh a ich rozšírenie môžu verejné orgány pomôcť preklenúť inovačnú priepasť a uľahčiť prechod od obmedzenej prvej výroby na testovanie a validáciu ku komercializácii. Takýto prístup môže prispieť k zvýšeniu produktivity a zlepšiť prístup na trh pre MSP, ako sú inovačné startupy a scaleupy.</w:t>
      </w:r>
    </w:p>
    <w:p>
      <w:r>
        <w:t>(28) V stavebníctve, ktoré predstavuje približne 30 % hodnoty zadaných verejných zákaziek, sa inovácia podporuje prostredníctvom využívania informačného modelovania budov.</w:t>
      </w:r>
    </w:p>
    <w:p>
      <w:r>
        <w:t>BIM) ako štandardný prístup pri verejnom obstarávaní a realizácii projektov. Používanie otvorených digitálnych technológií BIM znižuje riziká projektu a umožňuje efektívnejšie procesy navrhovania a výstavby a zároveň neustále zvyšuje vplyv na ciele udržateľnosti. Obstarávatelia by ho preto mali v zásade používať na plnenie zákaziek s vysokou hodnotou.</w:t>
      </w:r>
    </w:p>
    <w:p>
      <w:r>
        <w:t>(29) Riziká pre bezpečnosť a verejnú bezpečnosť môžu vzniknúť v širokej škále postupov verejného obstarávania, a to aj mimo sektora obrany a citlivého sektora bezpečnosti v pravom zmysle slova. Obstarávatelia by si mali byť vedomí takýchto rizík, mali by ich posudzovať a riešiť pri navrhovaní a vykonávaní postupov verejného obstarávania a pri plnení zákaziek.</w:t>
      </w:r>
    </w:p>
    <w:p>
      <w:r>
        <w:t>(30) Verejné obstarávanie v odvetviach kritických pre fungovanie spoločnosti a hospodárstva Únie vrátane energetiky, dopravy, zdravotníctva, digitálnej infraštruktúry, vodného hospodárstva, potravinárstva a poľnohospodárstva a infraštruktúry finančného trhu môže vytvoriť alebo znásobiť strategické zraniteľné miesta, ak sú dodávateľské reťazce koncentrované, neprehľadné alebo nadmerne závislé od obmedzeného počtu prevádzkovateľov alebo zdrojov z tretích krajín. Ak má verejnú zákazku plniť kritický subjekt, obstarávatelia by v týchto odvetviach mali v relevantných prípadoch zahrnúť do svojich verejných zákaziek opatrenia týkajúce sa bezpečnosti dodávok a odolnosti bez toho, aby boli dotknuté uplatniteľné odvetvové právne predpisy Únie.</w:t>
      </w:r>
    </w:p>
    <w:p>
      <w:r>
        <w:t>(31) Týmto nariadením nie je dotknuté uplatňovanie pravidiel štátnej pomoci a hospodárskej súťaže, najmä článkov 101, 102 a 107 Zmluvy o fungovaní Európskej únie. Opatrenia stanovené v tomto nariadení by sa nemali používať na obmedzovanie alebo narúšanie hospodárskej súťaže spôsobom, ktorý je v rozpore so Zmluvou o fungovaní Európskej únie.</w:t>
      </w:r>
    </w:p>
    <w:p>
      <w:r>
        <w:t>(32) Únia uzavrela medzinárodné dohody, v ktorých sa stanovuje prístup hospodárskych subjektov a tovaru, služieb alebo prác z tretích krajín na jej trhy verejného obstarávania, najmä GPA a niekoľko dohôd o voľnom obchode so záväzkami v oblasti obstarávania. Existencia poskytnutého prístupu na trh závisí od druhu postupu verejného obstarávania, povahy obstarávateľa, predmetu zákazky, uplatniteľných prahových hodnôt a osobitných výnimiek alebo horizontálnych výnimiek dohodnutých v každej dohode. S cieľom uplatniť toto odstupňované pokrytie špecifické pre daný postup sa týmto nariadením zavádzajú pojmy „hospodársky subjekt, na ktorý sa vzťahuje táto dohoda“, a „tovar, služby alebo práce, na ktoré sa vzťahuje táto dohoda“, ktoré sa určujú samostatne pre každý postup obstarávania na základe medzinárodných záväzkov Únie uplatniteľných na každé jednotlivé obstarávanie. Komisia by mala byť splnomocnená prijímať delegované akty v tejto veci v súlade s príslušnými medzinárodnými dohodami, ak je to opodstatnené z dôvodov stanovených v tomto nariadení. Ak kandidátske krajiny uzavreli s Úniou dohodu, ktorou sa stanovuje prístup k verejnému obstarávaniu, hospodárske subjekty, tovar, služby a práce s pôvodom v týchto krajinách by sa na účely tohto nariadenia mali považovať za „hospodárske subjekty upravené touto dohodou“ a „tovar, služby alebo práce upravené touto dohodou“ v súlade s podmienkami stanovenými v príslušnej dohode. Tento prístup odráža perspektívu rozširovania a postupnú integráciu kandidátskych krajín do vnútorného trhu Únie a jeho cieľom je podporiť užšiu hospodársku integráciu, podnietiť zosúladenie právnych predpisov a posilniť uplatňovanie pravidiel a noriem Únie v jej bezprostrednom susedstve.</w:t>
      </w:r>
    </w:p>
    <w:p>
      <w:r>
        <w:t>(33) V súlade s judikatúrou Súdneho dvora Európskej únie, najmä s jeho rozsudkami vo veci C-652/22 (Kolin)[6] a vo veci C-266/22 (Qingdao)[7], sa práva a zásady vyplývajúce z práva Únie v oblasti verejného obstarávania nevzťahujú na hospodárske subjekty, tovar, služby alebo práce s pôvodom v tretích krajinách, na ktoré sa nevzťahujú takéto medzinárodné záväzky. Rovnaká zásada by sa mala uplatňovať aj na tovar vrátane komponentov obstarávaných výrobkov, služieb alebo prác s pôvodom v takýchto krajinách. Na základe tejto zásady toto nariadenie umožňuje obstarávateľom uplatňovať európske preferenčné požiadavky v súlade s medzinárodnými záväzkami Únie.</w:t>
      </w:r>
    </w:p>
    <w:p>
      <w:r>
        <w:t>(34) Komisia by mala byť splnomocnená uzavrieť osobitné obstarávania pre hospodárske subjekty nespadajúce pod režim medzinárodných záväzkov alebo pre tovar, služby alebo práce nespadajúce pod režim medzinárodných záväzkov pod podmienkou, že takéto uzavretie je v záujme Únie. Záujem Únie ukončiť určité obstarávania by sa mal posudzovať na základe posúdenia všetkých relevantných záujmov ako celku, najmä hospodárskych, geopolitických a spoločenských záujmov Únie, jej členských štátov a jej občanov. Relevantnosť takéhoto záujmu Únie ilustrujú odvetvia, ako sú železnice a stavba lodí, ktoré sa ako výrobné odvetvia dvojakého použitia spoliehajú na infraštruktúru, mobilné aktíva a informačné a komunikačné technológie (IKT) a systémy riadenia dopravy, ktoré musia byť odolné a majú zásadný význam pre vojenskú mobilitu, bezpečnosť a ciele Únie v oblasti strategickej autonómie. Ich strategický význam zdôraznili nedávne iniciatívy Únie vrátane stratégie hospodárskej bezpečnosti EÚ, plánu EÚ pre vysokorýchlostné železnice a námornej priemyselnej stratégie EÚ. V spoločnom oznámení o posilnení hospodárskej bezpečnosti EÚ sa zdôraznili aj riziká súvisiace so zapojením vysokorizikových subjektov do citlivých odvetví a dodávateľských reťazcov.</w:t>
      </w:r>
    </w:p>
    <w:p>
      <w:r>
        <w:t>(35) Na zabezpečenie účinného a konzistentného uplatňovania medzinárodného pokrytia a ustanovení o európskych preferenciách vo všetkých postupoch verejného obstarávania sú potrebné jasné a jednotné pravidlá určovania pôvodu. Týmto nariadením by sa preto mali stanoviť pravidlá pôvodu na uplatňovanie požiadaviek na európske preferencie, ktoré sú v ňom stanovené. Ak sa v právnych predpisoch Únie uplatniteľných na konkrétne odvetvia zavádzajú európske preferenčné požiadavky, tieto pravidlá by mali mať prednosť ako lex specialis. Týka sa to najmä kritických liekov, v prípade ktorých sa v článku [18 ods. 2] nariadenia (EÚ).../... [odkaz sa doplní po prijatí dokumentu COM(2025) 102 final] stanovujú povinné pravidlá na zvýhodnenie dodávateľov kritických liekov a ich účinných látok vyrábaných v Únii, ktorými sa vyčerpávajúcim spôsobom upravuje uplatňovanie európskej preferencie, pokiaľ ide o kritické lieky patriace do rozsahu jeho pôsobnosti. Zároveň, ak sa v odvetvových právnych predpisoch nestanovujú spôsoby uplatňovania týchto požiadaviek, obstarávatelia by sa mali opierať o horizontálne pravidlá stanovené v tomto nariadení.</w:t>
      </w:r>
    </w:p>
    <w:p>
      <w:r>
        <w:t>(36) Niektoré zmluvy a koncesie udelené na poskytovanie služieb vo verejnom záujme v doprave v rozsahu pôsobnosti nariadenia (ES) č. 1370/2007[8] sú vylúčené z rozsahu pôsobnosti tohto nariadenia. Ustanovenia kapitoly 4 „Bezpečnosť a odolnosť“ a kapitoly 5 „Európska preferencia“ tohto nariadenia by sa však mali uplatňovať na všetky zákazky a koncesie, na ktoré sa vzťahuje nariadenie (ES) č. 1370/2007, aby sa zabezpečila súdržnosť, pokiaľ ide o uplatňovanie týchto ustanovení na všetky zákazky a koncesie bez ohľadu na to, či podliehajú ustanoveniam o verejnom obstarávaní stanoveným v tomto nariadení alebo nie. Nariadenie (ES) č. 1370/2007 by sa preto malo zodpovedajúcim spôsobom zmeniť.</w:t>
      </w:r>
    </w:p>
    <w:p>
      <w:r>
        <w:t>(37) Horizontálne pravidlá uplatniteľné na všetky postupy obstarávania podľa tohto nariadenia by mali vychádzať zo známych koncepcií zo smerníc Európskeho parlamentu a Rady 2014/23/EÚ, 2014/24/EÚ a 2014/25/EÚ a z judikatúry Súdneho dvora Európskej únie, ktorou sa v prípade potreby modernizujú a objasňujú, aby sa lepšie dosiahli ciele stanovené v tomto nariadení, a to najmä integrita a nediskriminačná konkurencieschopnosť postupu obstarávania.</w:t>
      </w:r>
    </w:p>
    <w:p>
      <w:r>
        <w:t>(38) Existujúce výnimky z rozsahu pôsobnosti pre určité typy zákaziek zadávaných obstarávateľmi právnickým osobám, ktoré kontrolujú, alebo v rámci dohôd o spolupráci v rámci verejného sektora by sa mali zachovať. Keďže zákazky uvedené v týchto dvoch vylúčeniach nepatria do rozsahu pôsobnosti tohto nariadenia, členské štáty môžu vo svojom vnútroštátnom práve zakotviť prísnejšie pravidlá alebo otvoriť tieto zákazky hospodárskej súťaži. Spolupráca výlučne medzi miestnymi a regionálnymi orgánmi, keďže je menej pravdepodobné, že bude predstavovať riziko narušenia hospodárskej súťaže s hospodárskymi subjektmi, by sa mala vylúčiť z rozsahu pôsobnosti tohto nariadenia za menej prísnych podmienok. Napokon by sa mala zachovať aj existujúca možnosť sektorových obstarávateľov spoliehať sa pri vykonávaní konkrétnych činností na zavedené štrukturálne väzby s prepojenými podnikmi alebo spoločnými podnikmi.</w:t>
      </w:r>
    </w:p>
    <w:p>
      <w:r>
        <w:t>(39) Neprimerane podrobné špecifikácie často prispievajú k zbytočnému znižovaniu účasti hospodárskych subjektov a brzdia inovácie. S cieľom uľahčiť konkurenčné trhy verejného obstarávania by sa špecifikácie vymedzujúce charakteristické znaky stavebných prác, tovaru alebo služieb, ktoré sú predmetom verejného obstarávania, mali spravidla vypracovať z hľadiska funkčných požiadaviek. Variantné riešenia by sa mali viac využívať v postupoch verejného obstarávania, aby mohli prispieť k posilneniu hospodárskej súťaže a podpore inovatívnych a nákladovo efektívnych riešení. Ak by sa hospodárskym subjektom umožnilo navrhnúť alternatívne prístupy, obstarávatelia by mohli využívať širšiu škálu verejných súťaží, ktoré by boli lepšie prispôsobené ich potrebám. Takýto prístup by mohol byť prínosom aj pre MSP, pretože by im umožnil predkladať flexibilné, inovatívne alebo špecializovanejšie riešenia, ktoré sa môžu líšiť od štandardných špecifikácií a lepšie odrážať ich špecifické odborné znalosti alebo obchodné modely.</w:t>
      </w:r>
    </w:p>
    <w:p>
      <w:r>
        <w:t>(40) S cieľom zabezpečiť nediskriminačný prístup k obstarávaniu je mimoriadne dôležité, aby všetky kritériá a podmienky uplatňované v postupoch obstarávania zostali priamo alebo nepriamo spojené s predmetom zákazky, pokiaľ ide o vecnú podstatu obstarávaného tovaru, služieb a prác, alebo aby mali priamy vplyv na tento tovar, služby a práce bez toho, aby sa týkali vecnej podstaty. Keďže pojem vecná súvislosť bol predmetom poškodzujúcich rozdielnych výkladov, tento pojem by sa mal v tomto nariadení objasniť. Príklady úvah, ktoré súvisia s predmetom danej zákazky, by mohli zahŕňať skutočnosť, že pri výrobe nakúpených výrobkov sa nepoužili toxické chemikálie, že nakúpené služby sa poskytujú s použitím energeticky účinných strojov alebo energeticky účinných výrobných metód, že dotknutý výrobok pochádza zo spravodlivého obchodu vrátane požiadavky zaplatiť výrobcom minimálnu cenu a cenovú prémiu a že pracovníkom zapojeným do plnenia danej zákazky sú zabezpečené spravodlivé mzdy. Podmienka priamej alebo nepriamej súvislosti s predmetom zákazky vylučuje kritériá a podmienky týkajúce sa všeobecnej podnikovej politiky.</w:t>
      </w:r>
    </w:p>
    <w:p>
      <w:r>
        <w:t>(41) Značky sú cenným dôkazným prostriedkom, ktorý obstarávateľom pomáha začleniť environmentálne, sociálne alebo iné strategické aspekty do verejného obstarávania. Obstarávatelia, ktorí chcú nakupovať výrobky, služby alebo práce s osobitnými environmentálnymi, sociálnymi alebo inými vlastnosťami, by mali mať možnosť odkazovať na konkrétne značky za predpokladu, že ich požiadavky súvisia s predmetom zákazky a spĺňajú určité požiadavky na kvalitu značky. Keď sa obstarávatelia rozhodnú požiadať o environmentálnu značku, mali by s vysokou úrovňou ambícií požiadať o environmentálnu značku overenú treťou stranou počas životného cyklu a po prijatí kritérií environmentálnej značky EÚ pre výrobok, službu alebo dielo by mali v prvom rade požadovať environmentálnu značku EÚ, ktorá je oficiálnou dobrovoľnou schémou EÚ pre environmentálnu excelentnosť tovaru a služieb.</w:t>
      </w:r>
    </w:p>
    <w:p>
      <w:r>
        <w:t>(42) Na to, aby sa verejné výdavky stali efektívnejším investičným nástrojom v súlade so strategickými politickými cieľmi Únie, by sa mal klásť väčší dôraz na dlhodobý verejný prospech, a nie len na najnižšie počiatočné náklady. Postavenie kvality do centra verejného obstarávania umožní obstarávateľom nadobúdať práce, tovar a služby, ktoré poskytujú lepšie záruky na uspokojenie ich potrieb z dlhodobejšieho hľadiska a zároveň slúžia celkovým spoločenským cieľom. Verejné zákazky by sa preto vo všeobecnosti mali zadávať na základe najlepšieho pomeru ceny a kvality, čo obstarávateľom umožní porovnať ponuky nielen z hľadiska ceny, ale aj z hľadiska kritérií kvality spojených s predmetom zákazky vrátane environmentálnych a sociálnych aspektov, aspektov inovácie, európskej preferencie, bezpečnosti a odolnosti, ak je to relevantné, ako aj nákladov na životný cyklus. Hodnotenie takýchto kritérií na vyhodnotenie ponúk by sa malo opierať o dostatočné záruky spravodlivosti procesu hodnotenia, ako je oddelenie posudzovania cien a kvality a zabezpečenie „zásady štyroch očí“, ale mohlo by zahŕňať aj iné opatrenia, ako je vykonávanie individuálnych hodnotení pred kolektívnou diskusiou, vedenie zdokumentovaného audítorského záznamu a zverejňovanie všetkých odôvodnení bodového hodnotenia v prípade zákaziek s vysokou hodnotou. Preto by sa v prípade kritérií kvality vo fáze zadávania zákaziek mala stanoviť minimálna váha 30 % a 50 % v prípade zákaziek s vysokým podielom ľudskej práce, pričom 50 % by malo zahŕňať významné sociálne aspekty, a zároveň by sa obstarávateľom malo umožniť odchýliť sa od tejto požiadavky, ak kvalitu obstarávaných prác, tovaru alebo služieb možno dostatočne zabezpečiť prostredníctvom špecifikácií, podmienok plnenia zákaziek alebo kombináciou ktoréhokoľvek z týchto nástrojov s kritériami na vyhodnotenie ponúk.</w:t>
      </w:r>
    </w:p>
    <w:p>
      <w:r>
        <w:t>(43) MSP zohrávajú kľúčovú úlohu v hospodárstve Únie. Postupy verejného obstarávania by preto mali byť navrhnuté primeraným spôsobom, aby sa zabránilo zbytočnému administratívnemu a finančnému zaťaženiu a aby sa uľahčil prístup MSP k verejnému obstarávaniu, a to aj ako jednotlivých priamych dodávateľov alebo ako členov skupín hospodárskych subjektov. Očakáva sa, že vykonávaním obstarávania prostredníctvom nového digitálneho ekosystému sa výrazne znížia procesné a administratívne prekážky pre MSP vrátane požiadaviek na dokumentáciu a registráciu. Rozdelenie zákaziek na zmysluplné časti zostáva jedným z hlavných nástrojov na uľahčenie účasti MSP na verejnom obstarávaní a diverzifikáciu dodávateľskej základne. Obstarávatelia by preto mali aktívne zvážiť rozdelenie na časti ako súčasť procesu navrhovania obstarávania. Vzhľadom na existenciu prísnejších vnútroštátnych režimov vo viacerých členských štátoch, ktoré by členské štáty mali mať možnosť zachovať, by členské štáty mali mať možnosť stanoviť prísnejšie pravidlá rozdelenia na časti. Včasné platby, a to aj prostredníctvom dodávateľského reťazca, ďalej prispievajú k zabezpečeniu a posilneniu finančného postavenia MSP, rovnako ako zálohové platby, ktoré by sa preto mali podporovať.</w:t>
      </w:r>
    </w:p>
    <w:p>
      <w:r>
        <w:t>(44) Na zabezpečenie riadnych postupov verejného obstarávania, ktoré prinášajú najlepšiu kvalitu za vynaložené peniaze, by obstarávatelia mali zamietnuť ponuky, pri ktorých nie je možné riadne vysvetliť neobvykle nízke ceny. Mali by sa objasniť okolnosti, za ktorých sa ponuky zdajú neobvykle nízke, a podmienky, na ktoré sa uchádzači môžu odvolávať pri vysvetľovaní svojich cien a cenových prvkov.</w:t>
      </w:r>
    </w:p>
    <w:p>
      <w:r>
        <w:t>(45) Je tiež potrebné mať jasnejšie pravidlá týkajúce sa určitých aspektov súvisiacich s fázou plnenia zákazky vrátane platieb, a to z dôvodu jej úzkeho prepojenia so samotným postupom verejného obstarávania. Malo by sa objasniť, ako môžu obstarávatelia uplatňovať mechanizmy úprav počas plnenia zmlúv a ako možno zmluvy upravovať, najmä za nepredvídaných okolností. Mal by sa zaviesť jasný a transparentný mechanizmus úpravy, ktorý by obstarávateľom umožnil zmeniť zmluvné podmienky predvídateľným a primeraným spôsobom. Ustanovenia o úpravách zmluvy by sa mali zjednodušiť, aby sa umožnilo lepšie uplatňovanie v situáciách, ktoré odôvodňujú úpravu bez nového súťažného konania. Na zabezpečenie toho, aby každá podstatná zmena zmluvy, najmä pokiaľ ide o rozsah a obsah vzájomných práv a povinností zmluvných strán, podliehala v prípade potreby primeranému odôvodneniu, predchádzajúcemu uverejneniu a potenciálnemu preskúmaniu s cieľom bojovať proti možnému zneužitiu, sú potrebné spoľahlivé záruky. Ak úpravy presahujú 50 % pôvodnej predpokladanej hodnoty zákazky, existuje zvýšené riziko, že by takáto úprava zmenila hospodársku rovnováhu zákazky, takéto úpravy by preto mali podliehať zvýšeným povinnostiam týkajúcim sa transparentnosti.</w:t>
      </w:r>
    </w:p>
    <w:p>
      <w:r>
        <w:t>(46) Mali by sa stanoviť pravidlá na zabezpečenie vysledovateľnosti rozhodnutí prijatých počas postupov verejného obstarávania. Dokumentácia k jednotlivému postupu verejného obstarávania je naďalej kľúčová na potvrdenie správneho uplatňovania tohto nariadenia. Mal by byť v čo najväčšej možnej miere automatizovaný na platformách elektronického obstarávania. Transparentnosť príležitostí na obstarávanie je základným kameňom zabezpečenia rovnakého prístupu všetkých hospodárskych subjektov v celej Únii k obstarávaniu v celej Únii. Riadne zverejnenie takýchto možností by sa preto malo zaručiť prostredníctvom pravidiel o informáciách, ktoré sa majú uverejniť. S cieľom umožniť prístup zameraný na údaje by sa v tomto nariadení mali stanoviť všeobecné kategórie informácií. Kategórie informácií sú zoskupené, čo umožňuje vytvorenie komplexného prehľadu od plánovania verejného obstarávania až po dokončenie zákazky, čím sa získavajú zbery príslušných údajových bodov namiesto statickejšieho papierového zamerania na formuláre, čím sa podporuje znižovanie administratívnej záťaže. V tomto nariadení by sa mali stanoviť aj lehoty a spôsoby uverejňovania, a to aj na vnútroštátnej úrovni.</w:t>
      </w:r>
    </w:p>
    <w:p>
      <w:r>
        <w:t>(47) Koncesie a verejné zákazky majú rovnaký hlavný cieľ, a to umožniť obstarávateľom uspokojovať verejné potreby prostredníctvom prác alebo služieb. Líšia sa predovšetkým svojou štruktúrou odmeňovania, a nie svojím základným účelom. Vzhľadom na ich podobnosti vrátane ich spoliehania sa na súťažné výberové konania, sledovania horizontálnych politických cieľov a potenciálneho využívania verejných aktív je vhodné harmonizovať ich právne rámce v čo najväčšej možnej miere, aby sa zvýšila zrozumiteľnosť, znížila zložitosť a zabezpečilo konzistentné vykonávanie priorít Únie. Tento prístup podporený flexibilnými procesnými pravidlami poskytuje obstarávateľom jasnejšie usmernenia a zároveň zachováva potrebné rozdiely.</w:t>
      </w:r>
    </w:p>
    <w:p>
      <w:r>
        <w:t>(48) S cieľom riešiť koncepčné neistoty vyplývajúce z vymedzenia pojmu koncesie podľa smernice 2014/23/EÚ a odlíšiť ho od iných druhov zmlúv, ako sú zmluvy o prenájme pozemkov, je potrebné objasniť vymedzenie pojmu koncesia a pojem prevádzkové riziko, ktoré predstavujú rozhodujúce kritérium na kvalifikáciu zákazky ako koncesie. Prvky vymedzenia pojmov stanovené v tomto nariadení by sa mali chápať tak, že zostávajú obmedzené na vymedzenie rozsahu pôsobnosti tohto nariadenia bez toho, aby mali vplyv na vymedzenie prevádzkových rizík na účely iných oblastí politiky. Nové vymedzenie by sa malo zamerať priamo na vystavenie koncesionára neistým hospodárskym výsledkom, ktoré môžu ovplyvniť návratnosť investícií a prevádzkové náklady za bežných trhových podmienok, namiesto toho, aby sa spoliehalo na prísne, príliš normatívne kategórie rizika. Týmto prístupom sa zabezpečuje, aby sa s faktormi, ako je dopyt, ponuka, dostupnosť, životný cyklus alebo riziká výkonnosti, nezaobchádzalo ako so samostatnými právnymi kritériami, ale aby sa namiesto toho považovali za ilustráciu podkladovej ekonomickej expozície, ktorá charakterizuje presun prevádzkového rizika. Regulačný mechanizmus, v rámci ktorého sú prevádzkovatelia odmeňovaní podľa zákonných alebo regulovaných taríf, ktoré v plnej miere kompenzujú ich investičné a prevádzkové náklady, čím sa odstraňuje skutočné prevádzkové riziko, nepredstavuje koncesie v zmysle tohto nariadenia. Regulačné opatrenia, ktorých hlavným účelom je poskytovať finančnú podporu alebo iné stimuly, by sa ako také nemali považovať za koncesie len preto, že sa prideľujú prostredníctvom súťažného konania a ukladajú príjemcom určité požiadavky. Práva vstupu súvisiace s výstavbou a prevádzkou pevných liniek alebo sietí by sa takisto nemali považovať za koncesie, ak nezahŕňajú povinnosť dodávky alebo nadobudnutia služieb orgánom verejnej moci.</w:t>
      </w:r>
    </w:p>
    <w:p>
      <w:r>
        <w:t>(49) Na zabezpečenie účinného riadenia koncesií od prípravy až po vykonávanie sa týmto nariadením zavádzajú štruktúrované prvky riadenia zmlúv vrátane predchádzajúceho posúdenia rizika s cieľom overiť, či sa skutočné a ekonomicky zmysluplné prevádzkové riziko prenáša na koncesionára. V tomto predchádzajúcom štruktúrovanom posúdení rizika by sa mali identifikovať hlavné kategórie rizika a na základe objektívnych prvkov by sa malo určiť rozdelenie týchto rizík medzi strany. Na tieto účely by sa mala zohľadniť príslušná schopnosť zmluvných strán kontrolovať alebo ovplyvňovať výskyt alebo dôsledky príslušných rizík bez toho, aby sa tým koncesionára oslobodil od expozície voči potenciálnym stratám, a to aj v prípade, že obstarávateľ znáša časť rizika alebo ak je celková expozícia voči potenciálnym stratám obmedzená. Trvanie koncesií by malo byť primerané nielen času potrebnému na to, aby sa koncesionárovi vrátili investície, ale aj predvídateľnému odvetvovému vývoju, ako sú technologické, environmentálne, klimatické alebo spoločenské zmeny, ktoré by mohli ovplyvniť plnenie koncesie. Príliš dlhé trvanie môže zvýšiť potrebu podstatných úprav, čím sa oslabí počiatočné rozdelenie rizika a konkurenčné podmienky. Zákazky by mali umožniť prispôsobenie sa vyvíjajúcim sa požiadavkám týkajúcim sa udržateľnosti, technologického pokroku, bezpečnosti, inovácií a odolnosti, čím sa zabezpečí, že koncesie zostanú počas celého svojho životného cyklu vhodné na daný účel.</w:t>
      </w:r>
    </w:p>
    <w:p>
      <w:r>
        <w:t>(50) Ukázalo sa, že pravidlá týkajúce sa úprav koncesií sa v praxi ťažko uplatňujú. Týmto nariadením sa zachovávajú výnimky existujúceho rámca zo zákazov úprav, a preto sa zavádzajú jasnejšie limity, ktoré lepšie odrážajú hospodársku realitu koncesií, konkrétne sa v ňom vyžaduje zachovanie hospodárskej rovnováhy a zakazujú sa zmeny základných prvkov hospodárskej súťaže. V záujme väčšej transparentnosti pri zmene zmluvy sa týmto nariadením zavádza povinnosť zverejňovania ex ante v prípade významných zmien (presahujúcich 50 %), ktorá by mala slúžiť ako ochrana pred zneužívaním.</w:t>
      </w:r>
    </w:p>
    <w:p>
      <w:r>
        <w:t>(51) Poskytovatelia služieb elektronického obstarávania, či už verejní alebo súkromní, zohrávajú vo verejnom obstarávaní dôležitú úlohu pri uľahčovaní zabezpečenej elektronickej komunikácie. Preto je potrebné stanoviť pre ne určité požiadavky, aby sa zabezpečilo fungovanie interoperabilnej výmeny informácií, ako aj odolnosť siete interoperability. S cieľom poskytnúť hospodárskym subjektom jednoduchý prístup k postupom cezhraničného obstarávania by Komisia mala zriadiť a prevádzkovať platformu elektronického obstarávania, ktorá obsahuje základné funkcie potrebné na prístup k postupom obstarávania a ich vykonávanie.</w:t>
      </w:r>
    </w:p>
    <w:p>
      <w:r>
        <w:t>(52) Na zlepšenie cezhraničného prístupu k postupom verejného obstarávania by sa mala stanoviť európska norma pre postupy verejného obstarávania, ktorá hospodárskym subjektom umožní predkladať elektronické oznámenia, ako sú ponuky, obstarávateľom, ktorí využívajú iné služby. Okrem toho by sa malo požadovať, aby európska normalizačná organizácia vypracovala aj európsku normu pre údaje o verejnom obstarávaní. Malo by sa tiež objasniť, že elektronická komunikácia priamo v rámci platformy elektronického obstarávania, ktorú si zvolil obstarávateľ, je naďalej povolená, ak je v súlade s pravidlami elektronickej komunikácie.</w:t>
      </w:r>
    </w:p>
    <w:p>
      <w:r>
        <w:t>(53) Dôležitým prvkom zjednodušenia postupov verejného obstarávania je zníženie administratívnej záťaže obsiahnutej v kontrole oprávnenosti hospodárskeho subjektu. Na tento účel by Komisia mala zriadiť elektronickú službu oprávnenosti, ktorá bude poskytovať informácie z aktuálneho digitálneho nástroja hospodárskeho subjektu na udeľovanie podnikateľských certifikátov, ako aj od každého člena konzorcia alebo subdodávateľa, ktorý sa zúčastňuje na individuálnom postupe obstarávania. Prostredníctvom prepojenia nástroja s vnútroštátnymi databázami môžu obstarávatelia dostávať aktuálne informácie o oprávnenosti hospodárskeho subjektu.</w:t>
      </w:r>
    </w:p>
    <w:p>
      <w:r>
        <w:t>(54) Údaje súvisiace s obstarávaním vrátane údajov o zákazkách majú mnoho dôležitých použití a účelov: môže poskytnúť informácie o fungovaní vnútorného trhu a pomôcť pri odhaľovaní podvodov, korupcie, kolúzie a pochybení. Tam, kde sa obstarávateľom poskytuje väčšia flexibilita pri vykonávaní postupov verejného obstarávania, je dôležité mať celkovo lepšiu kvalitu údajov, aby sa zlepšilo monitorovanie. Členské štáty by preto mali zriadiť vnútroštátne dátové priestory pre verejné obstarávanie. Hoci je prístup k údajom o verejnom obstarávaní veľmi relevantný, nie je potrebné vyžadovať duplicitu údajov z rôznych zdrojov, keďže to so sebou prináša zvýšené náklady bez viditeľného prínosu. Preto by vnútroštátne dátové priestory mali poskytovať prístup k údajom vrátane údajov, ktoré sa môžu uchovávať v iných databázach, pričom informácie by sa mali uchovávať alebo vyhľadávať len v prípade potreby. Ak existujú už existujúce databázy verejného obstarávania, mali by tvoriť základ vnútroštátnych dátových priestorov pre verejné obstarávanie. Dátový priestor pre verejné obstarávanie zriadila Komisia s cieľom obsahovať a vymieňať si informácie o verejnom obstarávaní a mal by dostávať informácie o verejnom obstarávaní z vnútroštátnych dátových priestorov pre verejné obstarávanie.</w:t>
      </w:r>
    </w:p>
    <w:p>
      <w:r>
        <w:t>(55) Platformy elektronického obstarávania predstavujú kritickú infraštruktúru podporujúcu verejné obstarávanie v celej Únii. Informácie spracúvané prostredníctvom takýchto systémov majú veľmi citlivú povahu. Koncentrácia takýchto údajov v rámci platforiem, ktoré sú vo vlastníctve, pod kontrolou alebo neprimeraným vplyvom tretej krajiny, predstavuje významné riziká pre záujmy Únie alebo jedného či viacerých jej členských štátov v oblasti bezpečnosti a verejnej bezpečnosti. Medzi takéto riziká patrí neoprávnený prístup k citlivým údajom o obstarávaní, zasahovanie do integrity alebo dostupnosti platforiem obstarávania, vystavenie kybernetickým útokom alebo špionáž podporovaná zahraničnými štátnymi aktérmi a potenciálne využívanie informácií o obstarávaní na hospodárske alebo strategické účely, ktoré sú nepriaznivé pre Úniu. Na zaistenie bezpečnosti a odolnosti infraštruktúry verejného obstarávania je preto nevyhnutné zabezpečiť, aby poskytovatelia služieb elektronického obstarávania, ako aj vnútroštátne dátové priestory pre verejné obstarávanie zostali bez vlastníckych štruktúr alebo kontrolných opatrení, ktoré nesú riziko neprimeraného zasahovania.</w:t>
      </w:r>
    </w:p>
    <w:p>
      <w:r>
        <w:t>(56) Účinnosť tohto nariadenia závisí nielen od jasných pravidiel, ale aj od silných mechanizmov riadenia na vnútroštátnej úrovni. Členské štáty by preto mali zabezpečiť štruktúrované rámce monitorovania fungovania svojich systémov verejného obstarávania založené na dôkazoch na základe údajov dostupných v ich národných dátových priestoroch pre verejné obstarávanie s cieľom identifikovať nedostatky, posúdiť výkonnosť a hospodársku súťaž, odhaliť systémové riziká a vyhodnotiť pokrok pri dosahovaní cieľov tohto nariadenia. Takéto monitorovanie by malo podporovať neustále zlepšovanie vnútroštátnych systémov obstarávania a malo by okrem iného zahŕňať prekážky hospodárskej súťaže a prístupu na trh, a to aj pre MSP, zraniteľné miesta v súvislosti s korupciou a podvodmi, závislosti v dodávateľskom reťazci a zavádzanie udržateľnosti, inovácií a digitalizácie. Výsledky tohto monitorovania by sa mali pravidelne zverejňovať a mali by byť podkladom pre pravidelné podávanie správ Komisii.</w:t>
      </w:r>
    </w:p>
    <w:p>
      <w:r>
        <w:t>(57) Členské štáty by tiež mali určiť národný koordinačný orgán s cieľom zabezpečiť účinnú koordináciu medzi príslušnými vnútroštátnymi orgánmi, uľahčiť spoluprácu a výmenu informácií medzi týmito orgánmi a pôsobiť ako jednotné kontaktné miesto pre Komisiu, príslušné orgány iných členských štátov a príslušné zainteresované strany.</w:t>
      </w:r>
    </w:p>
    <w:p>
      <w:r>
        <w:t>(58) Profesionalizácia je kľúčovým faktorom pri zabezpečovaní účinného a efektívneho verejného obstarávania založeného na bezúhonnosti. Vyžaduje si to dlhodobý a strategický prístup k rozvoju a udržiavaniu zručností a kompetencií obstarávateľov počas celého cyklu verejného obstarávania. Národná stratégia by mala poskytnúť ucelený rámec na stanovenie priorít, koordináciu opatrení, monitorovanie pokroku a postupné prispôsobovanie úsilia o profesionalizáciu. Opatrenia na profesionalizáciu by mali zohľadňovať rôzne potreby obstarávateľov na každej úrovni riadenia, pričom osobitná pozornosť by sa mala venovať tým, ktorí majú obmedzené administratívne kapacity. Takýmito opatreniami by sa mala uľahčiť aj účasť hospodárskych subjektov, najmä MSP, a podporiť ďalšie subjekty, ktoré prispievajú k fungovaniu systému verejného obstarávania. Pri posilňovaní profesionalizácie obstarávateľov a zlepšovaní celkovej výkonnosti systému verejného obstarávania zohrávajú dôležitú úlohu vhodné podporné štruktúry, ako sú kompetenčné centrá, orgány odbornej prípravy, poradenské služby alebo asistenčné pracoviská.</w:t>
      </w:r>
    </w:p>
    <w:p>
      <w:r>
        <w:t>(59) Podvody, zvýhodňovanie, kolúzia, korupcia a konflikty záujmov naďalej predstavujú významné riziká pre integritu a účinnosť verejného obstarávania. Preto s cieľom zabrániť akémukoľvek narušeniu hospodárskej súťaže a zabezpečiť rovnaké zaobchádzanie so všetkými hospodárskymi subjektmi, a to aj pri plnení zákazky. Od obstarávateľov by sa malo vyžadovať, aby prijali vhodné, primerané a účinné opatrenia na predchádzanie takýmto rizikám, ich identifikáciu a nápravu počas prípravy, zadávania a plnenia zákaziek. Členské štáty by mali toto úsilie podporovať vhodnými nástrojmi vrátane nástrojov analýzy rizík založených na údajoch, ako je Arachne+, ktorý je inštitucionálnym nástrojom Komisie na hĺbkovú analýzu údajov a hodnotenie rizika určeným na pomoc pri odhaľovaní a prevencii podvodov, konfliktov záujmov a nezrovnalostí poškodzujúcich rozpočet EÚ. Cieľom nového digitálneho ekosystému pre obstarávanie v Únii je zabezpečiť transparentnosť a zodpovednosť, a tým prispieť k zníženiu rizík pre integritu postupov.</w:t>
      </w:r>
    </w:p>
    <w:p>
      <w:r>
        <w:t>(60) S cieľom prispôsobiť sa rýchlemu technickému, hospodárskemu a regulačnému vývoju by sa mala na Komisiu delegovať právomoc prijímať akty v súlade s článkom 290 zmluvy, pokiaľ ide o niekoľko nepodstatných prvkov tohto nariadenia: zmena prahových hodnôt verejného obstarávania každé dva roky s cieľom zohľadniť zmeny v rovnocennosti ZPČ, uloženie environmentálnych požiadaviek na obstarávanie určitých výrobkov, zmena zoznamu právnych predpisov Únie, ktorými sa zavádzajú požiadavky na udržateľnosť výrobkov alebo technológií, v prípade potreby po prijatí nových príslušných právnych aktov Únie, zmena prahovej hodnoty pre používanie BIM vo verejnom obstarávaní, prijatie povinných špecifikácií a iných kritérií verejného obstarávania, ak sa tieto prvky týkajú identifikovaných záujmov Únie v oblasti bezpečnosti a verejnej bezpečnosti alebo ak sa identifikujú strategické závislosti alebo riziká, zmena vymedzenia zahrnutých hospodárskych subjektov, tovaru, služieb alebo prác alebo doplnenie tohto nariadenia tým, že sa od obstarávateľov bude vyžadovať, aby uplatňovali ktorékoľvek z dobrovoľných reštriktívnych opatrení stanovených v tomto nariadení, zmena alebo rozšírenie požadovaných informácií o obstarávaní, určenie alebo zriadenie siete interoperability a stanovenie pravidiel riadenia elektronického systému oprávnenosti a určenie nástroja digitálnych podnikových dokladov a súvisiacej siete. Je osobitne dôležité, aby Komisia počas prípravných prác uskutočnila príslušné konzultácie, a to aj na úrovni expertov, a aby tieto konzultácie vykonávala v súlade so zásadami stanovenými v Medziinštitucionálnej dohode z 13. apríla 2016 o lepšej tvorbe práva[9]. Najmä s cieľom zabezpečiť rovnakú účasť na príprave</w:t>
      </w:r>
    </w:p>
    <w:p>
      <w:r>
        <w:t>[9] Ú. v. EÚ L 123, 12.5.2016, s. 1, http://data.europa.eu/eli/agree_interinstit/2016/512/oj.</w:t>
      </w:r>
    </w:p>
    <w:p>
      <w:r>
        <w:t>delegované akty sa Európskemu parlamentu a Rade doručujú všetky dokumenty v rovnakom čase ako odborníkom z členských štátov a odborníci Európskeho parlamentu a Rady majú systematický prístup na zasadnutia expertných skupín Komisie, ktoré sa zaoberajú prípravou delegovaných aktov.</w:t>
      </w:r>
    </w:p>
    <w:p>
      <w:r>
        <w:t>(61) S cieľom zabezpečiť jednotné podmienky vykonávania tohto nariadenia by sa mali na Komisiu preniesť vykonávacie právomoci na prijímanie rozhodnutí týkajúcich sa úrovní hospodárskej súťaže na určitých trhoch a uskutočniteľnosti vyňatia určitých typov obstarávateľov z pravidiel verejného obstarávania; špecifikovať, aký druh konkrétnych informácií by mal obsahovať každé verejné zhrnutie, a vytvoriť prepojenie verejných zhrnutí a postupnosti konkrétnych informácií obsiahnutých vo viacerých verejných zhrnutiach, ako aj súvisiace požiadavky na obstarávateľov a poskytovateľov služieb elektronického obstarávania týkajúce sa opakovaného použitia informácií; vykonávacie opatrenia pre sieť interoperability, elektronickú službu oprávnenosti a výmenu údajov; stanoviť spoločné špecifikácie zahŕňajúce požiadavky na sémantický dátový model postupov verejného obstarávania; a s cieľom určiť informácie o obstarávaní, ktoré by sa mali sprístupniť do národného dátového priestoru pre verejné obstarávanie (NPPDS) a dátového priestoru pre verejné obstarávanie (PPDS), jeho označenie za verejne dostupné, podmienky uverejnenia, ako je dátum uverejnenia pôvodne nezverejnených informácií, a zdroj požiadaviek na technické overovanie. Tieto právomoci by sa mali vykonávať v súlade s nariadením Európskeho parlamentu a Rady (EÚ) č. 182/2011[10].</w:t>
      </w:r>
    </w:p>
    <w:p>
      <w:r>
        <w:t>(62) Keďže cieľ tohto nariadenia, a to harmonizáciu pravidiel pre postupy verejného obstarávania, nie je možné uspokojivo dosiahnuť na úrovni členských štátov, ale z dôvodov jeho rozsahu a dôsledkov ho možno lepšie dosiahnuť na úrovni Únie, môže Únia prijať opatrenia v súlade so zásadou subsidiarity podľa článku 5 Zmluvy o Európskej únii. V súlade so zásadou proporcionality podľa uvedeného článku toto nariadenie neprekračuje rámec nevyhnutný na dosiahnutie tohto cieľa.</w:t>
      </w:r>
    </w:p>
    <w:p>
      <w:r>
        <w:t>(63) Týmto nariadením sa vykonáva regulačné hĺbkové čistenie, ktorým sa konsolidujú príslušné pravidlá verejného obstarávania z odvetvových právnych predpisov do jedného referenčného právneho predpisu, t. j. tohto nariadenia. Poskytuje všeobecný rámec pre pravidlá verejného obstarávania, ktoré majú väčší ako odvetvový význam, a tým výrazne zjednoduší uplatňovanie týchto pravidiel v praxi. S cieľom vypustiť a začleniť do tohto nariadenia príslušné pravidlá verejného obstarávania, ktoré sa uplatňujú bez ohľadu na druh dotknutého výrobku, je preto potrebné zmeniť nariadenia (EÚ) 2023/1542[11], (EÚ) 2024/1157[12], (EÚ) 2024/1252[13], (EÚ) 2024/1735[14], (EÚ) 2024/1781[15], (EÚ) 2024/2847[16], (EÚ) 2024/3110[17] a (EÚ) 2025/40[18] a smernice 2008/98/ES[19], (EÚ) 2019/882[20], (EÚ) 2022/2381[21], (EÚ) 2023/1791[22] a (EÚ) 2024/1760[23]. Nariadenie (ES) č. 1370/2007 by sa malo zmeniť tak, aby sa pravidlá stanovené v tomto nariadení týkajúce sa bezpečnosti, bezpečnosti dodávok a európskej preferencie uplatňovali na uvedené nariadenie.</w:t>
      </w:r>
    </w:p>
    <w:p>
      <w:r>
        <w:t>(64) Smernice 2014/23/EÚ, 2014/24/EÚ a 2014/25/EÚ by sa mali zrušiť.</w:t>
      </w:r>
    </w:p>
    <w:p>
      <w:r>
        <w:t>(65) Vzhľadom na rozsah a novosť reforiem zavedených týmto nariadením vrátane vytvorenia spoločného digitálneho ekosystému a dátových priestorov, posilnenia pravidiel strategického obstarávania a nových požiadaviek na riadenie a monitorovanie by sa uplatňovanie tohto nariadenia malo odložiť o dva roky.</w:t>
      </w:r>
    </w:p>
    <w:p>
      <w:r>
        <w:t>(66) V súlade s článkom 42 ods. 1 nariadenia (EÚ) 2018/1725[24] sa uskutočnili konzultácie s európskym dozorným úradníkom pre ochranu údajov, ktorý vydal svoje stanovisko [VLOŽIŤ],</w:t>
      </w:r>
    </w:p>
    <w:p>
      <w:r>
        <w:t>PRIJALI TOTO NARIADENIE:</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Osobitná správa o verejnom obstarávaní v EÚ za rok 2023, https://www.eca.europa.eu/en/publications?ref=SR-2023-28.</w:t>
      </w:r>
    </w:p>
    <w:p>
      <w:r>
        <w:rPr>
          <w:sz w:val="16"/>
        </w:rPr>
        <w:t>6 consilium.europa.eu/en/press/press-releases/2024/05/24/council-adopts-conclusions-on-the-court-of- Auditers-report-on-public-procurement/pdf/.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 verejné obstarávanie – právny rámec.</w:t>
      </w:r>
    </w:p>
    <w:p>
      <w:r>
        <w:rPr>
          <w:sz w:val="16"/>
        </w:rPr>
        <w:t>10 https://commission.europa.eu/publications/simpler-clearer-and-better-enforced-eu-rulebook_en.</w:t>
      </w:r>
    </w:p>
    <w:p>
      <w:r>
        <w:rPr>
          <w:sz w:val="16"/>
        </w:rPr>
        <w:t>11 Vec C-652/22, Kolin İnĚaat Turizm Sanayi ve Ticaret Aâ/Štátna komisia pre dohľad nad postupmi verejného obstarávania; Vec C-266/22, CRRC Qingdao Sifang Co. Ltd a Astra Vagoane Călători SA/Autoritata pentru Reformă Feroviară a Alstom Ferroviaria SpA.</w:t>
      </w:r>
    </w:p>
    <w:p>
      <w:r>
        <w:rPr>
          <w:sz w:val="16"/>
        </w:rPr>
        <w:t>12 Rozdiel v nákladoch uvedených v legislatívnom finančnom výkaze a v posúdení vplyvu vyplýva z toho, že legislatívny finančný výkaz zahŕňa všetky náklady, zatiaľ čo v posúdení vplyvu sa zohľadňujú len dodatočné náklady zavedené politickými opatreniami nad rámec tzv. bežných nákladov. Existujú aj malé rozdiely v klasifikácii a prezentácii nákladov vyplývajúce z požiadaviek nariadenia o rozpočtových pravidlách.</w:t>
      </w:r>
    </w:p>
    <w:p>
      <w:r>
        <w:rPr>
          <w:sz w:val="16"/>
        </w:rPr>
        <w:t>13 Nariadenie Európskeho parlamentu a Rady (EÚ) 2024/1252 z 11. apríla 2024, ktorým sa stanovuje rámec na zaistenie bezpečných a udržateľných dodávok kritických surovín a ktorým sa menia nariadenia (EÚ) č. 168/2013, (EÚ) 2018/858, (EÚ) 2018/1724 a (EÚ) 2019/1020 (Ú. v. EÚ L, 2024/1252, 3.5.2024, ELI: http://data.europa.eu/eli/reg/2024/1252/oj).</w:t>
      </w:r>
    </w:p>
    <w:p>
      <w:r>
        <w:rPr>
          <w:sz w:val="16"/>
        </w:rPr>
        <w:t>14 Nariadenie Európskeho parlamentu a Rady (EÚ) 2024/1735 z 13. júna 2024 o zriadení rámca opatrení na posilnenie európskeho ekosystému výroby emisne neutrálnych technológií a o zmene nariadenia (Ú. v. EÚ L, 2024/1735, 28.6.2024, ELI: http://data.europa.eu/eli/reg/2024/1735/oj).</w:t>
      </w:r>
    </w:p>
    <w:p>
      <w:r>
        <w:rPr>
          <w:sz w:val="16"/>
        </w:rPr>
        <w:t>15 Nariadenie Európskeho parlamentu a Rady (EÚ) 2024/1781 z 13. júna 2024, ktorým sa zriaďuje rámec na stanovenie požiadaviek na ekodizajn udržateľných výrobkov, mení smernica (EÚ) 2020/1828 a nariadenie (EÚ) 2023/1542 a zrušuje smernica 2009/125/ES (Ú. v. EÚ L, 2024/1781, 28.6.2024, ELI: http://data.europa.eu/eli/reg/2024/1781/oj).</w:t>
      </w:r>
    </w:p>
    <w:p>
      <w:r>
        <w:rPr>
          <w:sz w:val="16"/>
        </w:rPr>
        <w:t>16 Nariadenie Európskeho parlamentu a Rady (EÚ) 2024/2847 z 23. októbra 2024 o horizontálnych požiadavkách kybernetickej bezpečnosti pre produkty s digitálnymi prvkami a o zmene nariadení (EÚ) č. 168/2013 a (EÚ) 2019/1020 a smernice (EÚ) 2020/1828 (akt o kybernetickej odolnosti) (Ú. v. EÚ L, 2024/2847, 20.11.2024, ELI: http://data.europa.eu/eli/reg/2024/2847/oj).</w:t>
      </w:r>
    </w:p>
    <w:p>
      <w:r>
        <w:rPr>
          <w:sz w:val="16"/>
        </w:rPr>
        <w:t>17 Nariadenie Európskeho parlamentu a Rady (EÚ) 2024/3110 z 27. novembra 2024, ktorým sa stanovujú harmonizované pravidlá uvádzania stavebných výrobkov na trh a zrušuje nariadenie (EÚ) č. 305/2011 (Ú. v. EÚ L 2024/3110, 18.12.2024, ELI: http://data.europa.eu/eli/reg/2024/3110/oj).</w:t>
      </w:r>
    </w:p>
    <w:p>
      <w:r>
        <w:rPr>
          <w:sz w:val="16"/>
        </w:rPr>
        <w:t>18 Nariadenie Európskeho parlamentu a Rady (EÚ) 2024/1735 z 13. júna 2024 o zriadení rámca opatrení na posilnenie európskeho ekosystému výroby emisne neutrálnych technológií a o zmene nariadenia (EÚ) 2018/1724 (Ú. v. EÚ L, 2024/1735, 28.6.2024, ELI: http://data.europa.eu/eli/reg/2024/1735/oj).</w:t>
      </w:r>
    </w:p>
    <w:p>
      <w:r>
        <w:rPr>
          <w:sz w:val="16"/>
        </w:rPr>
        <w:t>19 Smernica Európskeho parlamentu a Rady 2008/98/ES z 19. novembra 2008 o odpade a o zrušení určitých smerníc (Ú. v. EÚ L 312, 22.11.2008, s. 3, ELI: http://data.europa.eu/eli/dir/2008/98/oj).</w:t>
      </w:r>
    </w:p>
    <w:p>
      <w:r>
        <w:rPr>
          <w:sz w:val="16"/>
        </w:rPr>
        <w:t>20 Smernica Európskeho parlamentu a Rady 2014/24/EÚ z 26. februára 2014 o verejnom obstarávaní a o zrušení smernice 2004/18/ES (Ú. v. EÚ L 94, 28.3.2014, s. 65, ELI: http://data.europa.eu/eli/dir/2014/24/oj).</w:t>
      </w:r>
    </w:p>
    <w:p>
      <w:r>
        <w:rPr>
          <w:sz w:val="16"/>
        </w:rPr>
        <w:t>21 Smernica Európskeho parlamentu a Rady (EÚ) 2022/2381 z 23. novembra 2022 o zlepšení rodovej vyváženosti medzi riadiacimi pracovníkmi kótovaných spoločností a súvisiacich opatreniach (Ú. v. EÚ L 315, 7.12.2022, s. 44, ELI: http://data.europa.eu/eli/dir/2022/2381/oj).</w:t>
      </w:r>
    </w:p>
    <w:p>
      <w:r>
        <w:rPr>
          <w:sz w:val="16"/>
        </w:rPr>
        <w:t>22 Smernica Európskeho parlamentu a Rady (EÚ) 2023/1791 z 13. septembra 2023 o energetickej efektívnosti a o zmene nariadenia (EÚ) 2023/955 (prepracované znenie) (Ú. v. EÚ L 231, 20.9.2023, s. 1, ELI: http://data.europa.eu/eli/dir/2023/1791/oj).</w:t>
      </w:r>
    </w:p>
    <w:p>
      <w:r>
        <w:rPr>
          <w:sz w:val="16"/>
        </w:rPr>
        <w:t>23 Smernica Európskeho parlamentu a Rady (EÚ) 2024/1760 z 13. júna 2024 o náležitej starostlivosti podnikov v oblasti udržateľnosti a o zmene smernice (EÚ) 2019/1937 a nariadenia (EÚ) 2023/2859 (Ú. v. EÚ L, 2024/1760, 5.7.2024, ELI: http://data.europa.eu/eli/dir/2024/1760/oj).</w:t>
      </w:r>
    </w:p>
    <w:p>
      <w:r>
        <w:rPr>
          <w:sz w:val="16"/>
        </w:rPr>
        <w:t>24 Nariadenie Európskeho parlamentu a Rady (EÚ) 2018/1725 z 23. októbra 2018 o ochrane fyzických osôb pri spracúvaní osobných údajov inštitúciami, orgánmi, úradmi a agentúrami Únie a o voľnom pohybe takýchto údajov, ktorým sa zrušuje nariadenie (ES) č. 45/2001 a rozhodnutie č. 1247/2002/ES (Ú. v. EÚ L 295, 21.11.2018, s. 39, ELI: http://data.europa.eu/eli/reg/2018/1725/oj).</w:t>
      </w:r>
    </w:p>
    <w:p>
      <w:pPr>
        <w:pStyle w:val="Heading2"/>
        <w:jc w:val="center"/>
      </w:pPr>
      <w:r>
        <w:t>Časť I</w:t>
      </w:r>
    </w:p>
    <w:p>
      <w:pPr>
        <w:pStyle w:val="Heading2"/>
        <w:jc w:val="center"/>
      </w:pPr>
      <w:r>
        <w:t>Všeobecné ustanovenia</w:t>
      </w:r>
    </w:p>
    <w:p>
      <w:pPr>
        <w:pStyle w:val="Heading2"/>
        <w:jc w:val="center"/>
      </w:pPr>
      <w:r>
        <w:t>Hlava I</w:t>
      </w:r>
    </w:p>
    <w:p>
      <w:pPr>
        <w:pStyle w:val="Heading2"/>
        <w:jc w:val="center"/>
      </w:pPr>
      <w:r>
        <w:t>Predmet úpravy a rozsah pôsobnosti</w:t>
      </w:r>
    </w:p>
    <w:p>
      <w:pPr>
        <w:pStyle w:val="Heading3"/>
        <w:jc w:val="center"/>
      </w:pPr>
      <w:r>
        <w:t>Článok 1</w:t>
      </w:r>
    </w:p>
    <w:p>
      <w:pPr>
        <w:pStyle w:val="Heading4"/>
        <w:jc w:val="center"/>
      </w:pPr>
      <w:r>
        <w:t>Predmet a rozsah pôsobnosti</w:t>
      </w:r>
    </w:p>
    <w:p>
      <w:r>
        <w:t>1. Týmto nariadením sa stanovujú pravidlá týkajúce sa verejných zákaziek na práce, tovar alebo služby a koncesií na práce alebo služby obstarané jedným alebo viacerými obstarávateľmi od jedného alebo viacerých hospodárskych subjektov, ktorých hodnota sa rovná finančným limitom stanoveným v článku 2 alebo tieto limity presahuje.</w:t>
      </w:r>
    </w:p>
    <w:p>
      <w:r>
        <w:t>2. Týmto nariadením sa stanovujú procesné pravidlá, ktoré sa uplatňujú na zadávanie verejných zákaziek a koncesií, ako aj aspekty plánovania a plnenia takýchto zákaziek a koncesií súvisiace s obstarávaním, stanovujú sa strategické ciele, ktoré sa majú zohľadniť, a zriaďuje sa rámec pre spoločný digitálny ekosystém, ktorý sa má používať pri ich plánovaní, zadávaní a vykonávaní, ako aj mechanizmy na zabezpečenie efektívnosti a zodpovednosti verejného obstarávania.</w:t>
      </w:r>
    </w:p>
    <w:p>
      <w:r>
        <w:t>3. Toto nariadenie neupravuje záležitosti týkajúce sa všeobecného správneho alebo zmluvného práva v členských štátoch nad rámec záležitostí uvedených v odseku 1 a</w:t>
      </w:r>
    </w:p>
    <w:p>
      <w:r>
        <w:t>2. Nemá vplyv na spôsob, akým členské štáty organizujú svoju verejnú správu vrátane finančnej a rozpočtovej kontroly verejných výdavkov, ani na organizáciu svojich systémov sociálneho zabezpečenia.</w:t>
      </w:r>
    </w:p>
    <w:p>
      <w:r>
        <w:t>4. Uplatňovanie tohto nariadenia podlieha článku 346 zmluvy. Toto nariadenie nebráni prijatiu alebo presadzovaniu vnútroštátnych opatrení potrebných na ochranu národnej bezpečnosti členských štátov v súlade so zmluvou.</w:t>
      </w:r>
    </w:p>
    <w:p>
      <w:r>
        <w:t>5. Týmto nariadením nie je dotknutá sloboda členských štátov podľa článku 4 zmluvy zriadiť v súlade s právom Únie služby všeobecného hospodárskeho záujmu a spôsob ich organizácie a financovania za predpokladu, že sú v súlade s pravidlami štátnej pomoci a osobitnými povinnosťami, ktoré sa na ne vzťahujú. Okrem toho toto nariadenie nemá vplyv na žiadne rozhodnutie verejných orgánov o tom, či, ako a v akom rozsahu chcú samy vykonávať verejné funkcie podľa článku 14 zmluvy a protokolu č. 26 k zmluve.</w:t>
      </w:r>
    </w:p>
    <w:p>
      <w:r>
        <w:t>6. Dohody, rozhodnutia alebo iné právne nástroje, ktorými sa organizuje presun právomocí a zodpovedností za plnenie verejných úloh medzi obstarávateľmi a v ktorých sa nestanovuje poskytovanie odmeny za zmluvné plnenie, sa považujú za vec vnútornej organizácie dotknutého členského štátu a ako také nie sú žiadnym spôsobom dotknuté týmto nariadením.</w:t>
      </w:r>
    </w:p>
    <w:p>
      <w:pPr>
        <w:pStyle w:val="Heading3"/>
        <w:jc w:val="center"/>
      </w:pPr>
      <w:r>
        <w:t>Článok 2</w:t>
      </w:r>
    </w:p>
    <w:p>
      <w:pPr>
        <w:pStyle w:val="Heading4"/>
        <w:jc w:val="center"/>
      </w:pPr>
      <w:r>
        <w:t>Prah</w:t>
      </w:r>
    </w:p>
    <w:p>
      <w:r>
        <w:t>1. Toto nariadenie sa vzťahuje na verejné zákazky a koncesie, ktorých predpokladaná hodnota bez dane z pridanej hodnoty (DPH) sa rovná alebo je vyššia ako tieto prahové hodnoty:</w:t>
      </w:r>
    </w:p>
    <w:p>
      <w:r>
        <w:t>a) 5 404 000 EUR v prípade verejných zákaziek na uskutočnenie stavebných prác a koncesií;</w:t>
      </w:r>
    </w:p>
    <w:p>
      <w:r>
        <w:t>b) 140 000 EUR pre verejné zákazky na dodanie tovaru a poskytnutie služieb zadané ústrednými orgánmi štátnej správy uvedenými v prílohe I;</w:t>
      </w:r>
    </w:p>
    <w:p>
      <w:r>
        <w:t>c) 216 000 EUR pre verejné zákazky na dodanie tovaru a poskytnutie služieb zadané verejnými obstarávateľmi na nižšej ako ústrednej úrovni;</w:t>
      </w:r>
    </w:p>
    <w:p>
      <w:r>
        <w:t>d) 432 000 EUR v prípade verejných zákaziek na dodanie tovaru a verejných zákaziek na poskytnutie služieb zadaných sektorovými obstarávateľmi pôsobiacimi v odvetviach, na ktoré sa vzťahuje časť II hlava I kapitola 2;</w:t>
      </w:r>
    </w:p>
    <w:p>
      <w:r>
        <w:t>e) 750 000 EUR v prípade zákaziek na sociálne, zdravotnícke a vzdelávacie služby zadaných podľa článku 58.</w:t>
      </w:r>
    </w:p>
    <w:p>
      <w:r>
        <w:t>2. Komisia je splnomocnená prijímať delegované akty v súlade s článkom 141 alebo v naliehavých prípadoch v súlade s článkom 142, ktorými sa menia prahové hodnoty stanovené v odseku 1 tohto článku v súlade s podmienkami stanovenými v článku 3.</w:t>
      </w:r>
    </w:p>
    <w:p>
      <w:pPr>
        <w:pStyle w:val="Heading3"/>
        <w:jc w:val="center"/>
      </w:pPr>
      <w:r>
        <w:t>Článok 3</w:t>
      </w:r>
    </w:p>
    <w:p>
      <w:pPr>
        <w:pStyle w:val="Heading4"/>
        <w:jc w:val="center"/>
      </w:pPr>
      <w:r>
        <w:t>Revízia finančných limitov</w:t>
      </w:r>
    </w:p>
    <w:p>
      <w:r>
        <w:t>1. Komisia každé dva roky od... [Úrad pre publikácie: vložiť dátum = posledný deň mesiaca august po dátume nadobudnutia účinnosti tohto nariadenia] overí, či finančné limity stanovené v článku 2 ods. 1 zodpovedajú finančným limitom stanoveným v Dohode Svetovej obchodnej organizácie o vládnom obstarávaní (GPA), a v prípade potreby tieto finančné limity zreviduje v súlade s týmto článkom.</w:t>
      </w:r>
    </w:p>
    <w:p>
      <w:r>
        <w:t>2. Komisia zreviduje prahové hodnoty stanovené v článku 2 v súlade s metódou výpočtu stanovenou v GPA. Komisia vypočíta hodnotu týchto prahových hodnôt na základe priemernej dennej hodnoty eura vyjadrenej v zvláštnych právach čerpania (ZPČ) za obdobie 24 mesiacov, ktoré sa končí 31. augusta predchádzajúceho revízii s účinnosťou od 1. januára. Hodnota revidovaných prahových hodnôt sa v prípade potreby zaokrúhli nadol na najbližších tisíc eur, aby sa zabezpečilo dodržiavanie platných prahových hodnôt stanovených v GPA, vyjadrených v ZPČ.</w:t>
      </w:r>
    </w:p>
    <w:p>
      <w:r>
        <w:t>3. Od 1. januára 202X [Úrad pre publikácie: vložiť rok po roku nadobudnutia účinnosti tohto nariadenia] a potom každé dva roky Komisia určí v národných menách členských štátov, ktorých menou nie je euro, hodnoty finančných limitov stanovených v článku 2 tohto nariadenia.</w:t>
      </w:r>
    </w:p>
    <w:p>
      <w:r>
        <w:t>4. V súlade s metódou výpočtu stanovenou v GPA Komisia určí hodnoty uvedené v odseku 3 na základe priemerných denných hodnôt týchto mien zodpovedajúcich uplatniteľnému limitu vyjadrenému v eurách za obdobie 24 mesiacov, ktoré sa končí 31. augusta predchádzajúceho revízii s účinnosťou od 1. januára nasledujúceho roka.</w:t>
      </w:r>
    </w:p>
    <w:p>
      <w:r>
        <w:t>5. Komisia uverejní revidované finančné limity a ich zodpovedajúce hodnoty v národných menách členských štátov, ktorých menou nie je euro, v Úradnom vestníku Európskej únie na začiatku novembra nasledujúceho po ich revízii.</w:t>
      </w:r>
    </w:p>
    <w:p>
      <w:r>
        <w:t>6. Ak je potrebné zrevidovať finančné limity stanovené v článku 3 a ak vážne a naliehavé dôvody bránia použitiu postupu stanoveného v článku 141, a teda si to vyžadujú vážne a naliehavé dôvody, na delegované akty prijaté podľa článku 2 ods. 2 sa uplatňuje postup uvedený v článku 142.</w:t>
      </w:r>
    </w:p>
    <w:p>
      <w:pPr>
        <w:pStyle w:val="Heading2"/>
        <w:jc w:val="center"/>
      </w:pPr>
      <w:r>
        <w:t>Hlava II</w:t>
      </w:r>
    </w:p>
    <w:p>
      <w:pPr>
        <w:pStyle w:val="Heading2"/>
        <w:jc w:val="center"/>
      </w:pPr>
      <w:r>
        <w:t>Zásady, politické ciele a vymedzenia pojmov</w:t>
      </w:r>
    </w:p>
    <w:p>
      <w:pPr>
        <w:pStyle w:val="Heading3"/>
        <w:jc w:val="center"/>
      </w:pPr>
      <w:r>
        <w:t>Článok 4</w:t>
      </w:r>
    </w:p>
    <w:p>
      <w:pPr>
        <w:pStyle w:val="Heading4"/>
        <w:jc w:val="center"/>
      </w:pPr>
      <w:r>
        <w:t>Zásady verejného obstarávania</w:t>
      </w:r>
    </w:p>
    <w:p>
      <w:r>
        <w:t>1. Obstarávanie sa riadi zásadou najvyššej kvality verejných finančných prostriedkov, čím slúži cieľu efektívnych verejných výdavkov a investícií.</w:t>
      </w:r>
    </w:p>
    <w:p>
      <w:r>
        <w:t>2. Obstarávatelia zaobchádzajú s hospodárskymi subjektmi pochádzajúcimi z Únie a hospodárskymi subjektmi, ktoré sú zahrnutými hospodárskymi subjektmi v súlade s článkom 70 ods. 1, rovnako a nediskriminačne, pričom plne uplatňujú voľný pohyb osôb, tovaru a služieb a slobodu usadiť sa na vnútornom trhu Únie. Konajú transparentne a primerane.</w:t>
      </w:r>
    </w:p>
    <w:p>
      <w:r>
        <w:t>3. Obstarávatelia prijmú vhodné opatrenia na zabezpečenie integrity procesu obstarávania a na zabránenie okolnostiam, ktoré by mohli ohroziť jeho nestrannosť a spravodlivosť.</w:t>
      </w:r>
    </w:p>
    <w:p>
      <w:r>
        <w:t>Obstarávatelia nenavrhujú svoje obstarávanie tak, aby sa vylúčilo z rozsahu pôsobnosti tohto nariadenia alebo aby sa neprimerane obmedzila hospodárska súťaž.</w:t>
      </w:r>
    </w:p>
    <w:p>
      <w:r>
        <w:t>4. Obstarávatelia prijmú vhodné opatrenia na zabezpečenie toho, aby hospodárske subjekty pri plnení verejných zákaziek dodržiavali uplatniteľné povinnosti týkajúce sa cieľov politiky stanovených v článku 5 vrátane uplatniteľných povinností v oblasti environmentálneho, sociálneho a pracovného práva, ako sa stanovuje v práve Únie, vnútroštátnom práve, kolektívnych zmluvách alebo medzinárodných dohovoroch v oblasti environmentálneho, sociálneho a pracovného práva uvedených v prílohe II.</w:t>
      </w:r>
    </w:p>
    <w:p>
      <w:pPr>
        <w:pStyle w:val="Heading3"/>
        <w:jc w:val="center"/>
      </w:pPr>
      <w:r>
        <w:t>Článok 5</w:t>
      </w:r>
    </w:p>
    <w:p>
      <w:pPr>
        <w:pStyle w:val="Heading4"/>
        <w:jc w:val="center"/>
      </w:pPr>
      <w:r>
        <w:t>Ciele politiky</w:t>
      </w:r>
    </w:p>
    <w:p>
      <w:r>
        <w:t>Verejné obstarávanie sa riadi strategickými politickými cieľmi Únie, najmä:</w:t>
      </w:r>
    </w:p>
    <w:p>
      <w:r>
        <w:t>a) posilnenie konkurencieschopnosti Únie prostredníctvom prosperujúceho vnútorného trhu, pokrok v inováciách a posilnenie výrobnej a čistej priemyselnej základne Únie;</w:t>
      </w:r>
    </w:p>
    <w:p>
      <w:r>
        <w:t>b) dosiahnutie cieľov Únie v oblasti životného prostredia a klímy;</w:t>
      </w:r>
    </w:p>
    <w:p>
      <w:r>
        <w:t>c) presadzovanie sociálnej spravodlivosti, spravodlivých pracovných podmienok a inkluzívnej spoločnosti, a to aj prostredníctvom sociálneho dialógu;</w:t>
      </w:r>
    </w:p>
    <w:p>
      <w:r>
        <w:t>d) bezpečnosti, bezpečnostnej ochrany, odolnosti a hospodárskej bezpečnosti Únie, a to aj prostredníctvom strategickej nezávislosti.</w:t>
      </w:r>
    </w:p>
    <w:p>
      <w:pPr>
        <w:pStyle w:val="Heading3"/>
        <w:jc w:val="center"/>
      </w:pPr>
      <w:r>
        <w:t>Článok 6</w:t>
      </w:r>
    </w:p>
    <w:p>
      <w:pPr>
        <w:pStyle w:val="Heading4"/>
        <w:jc w:val="center"/>
      </w:pPr>
      <w:r>
        <w:t>Definície</w:t>
      </w:r>
    </w:p>
    <w:p>
      <w:r>
        <w:t>Na účely tohto nariadenia sa uplatňuje toto vymedzenie pojmov:</w:t>
      </w:r>
    </w:p>
    <w:p>
      <w:r>
        <w:t>1. „utajovaná skutočnosť“ je každá informácia alebo vec bez ohľadu na formu, povahu alebo spôsob jej prenosu, ktorej bol priradený určitý stupeň utajenia alebo ochrany a ktorá si v záujme národnej bezpečnosti a v súlade so zákonmi, inými právnymi predpismi alebo správnymi opatreniami platnými v dotknutom členskom štáte vyžaduje ochranu pred zneužitím, zničením, odstránením, sprístupnením, stratou alebo prístupom neoprávnenej osoby alebo pred akýmkoľvek iným druhom ohrozenia;</w:t>
      </w:r>
    </w:p>
    <w:p>
      <w:r>
        <w:t>2. „deň“ je kalendárny deň;</w:t>
      </w:r>
    </w:p>
    <w:p>
      <w:r>
        <w:t>3. „digitálny nástroj na získanie obchodného certifikátu“ je digitálny nástroj, ktorý umožňuje overovanie, výmenu a uchovávanie dôkazov týkajúcich sa dôvodov na vylúčenie, podmienok účasti, pôvodu a iných požiadaviek stanovených podľa tohto nariadenia v rámci postupu verejného obstarávania a dostupných prostredníctvom tohto nástroja;</w:t>
      </w:r>
    </w:p>
    <w:p>
      <w:r>
        <w:t>4. „hospodársky subjekt“ je každá fyzická alebo právnická osoba alebo verejný subjekt alebo skupina takýchto osôb a/alebo subjektov, ako sú spoločné podniky, konzorciá alebo iné vrátane akýchkoľvek dočasných združení bez právnej subjektivity, ktoré na trhu ponúkajú uskutočnenie diela alebo stavebných prác, dodanie výrobkov alebo poskytnutie služieb;</w:t>
      </w:r>
    </w:p>
    <w:p>
      <w:r>
        <w:t>5. „profil oprávnenosti“ je súhrnný dokument vytvorený elektronickou službou oprávnenosti uvedenou v článku 133, ktorý obsahuje informácie o hospodárskom subjekte vrátane informácií týkajúcich sa jeho súladu s dôvodmi na vylúčenie, podmienkami účasti a pôvodom;</w:t>
      </w:r>
    </w:p>
    <w:p>
      <w:r>
        <w:t>6. „platforma elektronického obstarávania“ je digitálny nástroj, ktorý umožňuje elektronickú komunikáciu medzi obstarávateľmi a hospodárskymi subjektmi prostredníctvom siete interoperability;</w:t>
      </w:r>
    </w:p>
    <w:p>
      <w:r>
        <w:t>7. „poskytovateľ služieb elektronického obstarávania“ je hospodársky subjekt, ktorý poskytuje platformu elektronického obstarávania;</w:t>
      </w:r>
    </w:p>
    <w:p>
      <w:r>
        <w:t>8. „funkčná požiadavka“ je požiadavka, ktorá opisuje výkon, požadovanú funkciu, spôsobilosť, výsledok alebo výsledok, ktoré majú práce, výrobky alebo služby dosiahnuť, bez toho, aby odkazovala na konkrétne technické prostriedky, návrh alebo metódy, ktorými sa tieto funkcie alebo výsledky dosahujú;</w:t>
      </w:r>
    </w:p>
    <w:p>
      <w:r>
        <w:t>9. „harmonizovaná norma“ je harmonizovaná norma v zmysle vymedzenia v článku 2 bode 1 písm. c) nariadenia (EÚ) č. 1025/2012[25];</w:t>
      </w:r>
    </w:p>
    <w:p>
      <w:r>
        <w:t>10. „zákazka s vysokým podielom ľudskej práce“ je zákazka s predmetom, ktorého náklady na pracovnú silu zvyčajne predstavujú aspoň 50 % celkovej hodnoty zákazky;</w:t>
      </w:r>
    </w:p>
    <w:p>
      <w:r>
        <w:t>11. „životný cyklus“ sú všetky možné po sebe nasledujúce alebo vzájomne prepojené fázy alebo oboje vrátane výskumu a vývoja, ktorý sa má vykonať, výroby, obchodovania a jeho podmienok, prepravy, používania a údržby počas existencie výrobku, prác alebo služieb, od získania surovín alebo vytvorenia zdrojov až po likvidáciu, odstránenie a ukončenie služby alebo používania;</w:t>
      </w:r>
    </w:p>
    <w:p>
      <w:r>
        <w:t>12. „mikropodnik, malý alebo stredný podnik“ (MSP) je mikropodnik, malý alebo stredný podnik vymedzený v prílohe k odporúčaniu Komisie 2003/361/ES[26];</w:t>
      </w:r>
    </w:p>
    <w:p>
      <w:r>
        <w:t>13. „obstarávanie vo fáze pred komerčným využitím“ je obstarávanie služieb výskumu a vývoja, ktoré zahŕňa zdieľanie rizík a prínosov za trhových podmienok a konkurenčný vývoj vo fázach;</w:t>
      </w:r>
    </w:p>
    <w:p>
      <w:r>
        <w:t>14. „podrobnosti obstarávania“ sú akékoľvek informácie, ktoré obstarávateľ vytvoril alebo na ktoré odkazuje s cieľom opísať prvky obstarávania pred zadaním zákazky, vrátane verejných zhrnutí, technických špecifikácií, návrhu zmluvy, vzorov na predkladanie informácií hospodárskymi subjektmi, informácií o všeobecne uplatniteľných povinnostiach a akýchkoľvek dodatočných informácií;</w:t>
      </w:r>
    </w:p>
    <w:p>
      <w:r>
        <w:t>15. „informácie o obstarávaní“ sú akékoľvek údaje poskytnuté obstarávateľom, ktoré sa vzťahujú na celý životný cyklus obstarávania, a to aj pred zadaním zákazky a po jej zadaní;</w:t>
      </w:r>
    </w:p>
    <w:p>
      <w:r>
        <w:t>(16) „obstarávanie služieb výskumu a vývoja“ („obstarávanie výskumu a vývoja“) je obstarávanie základného výskumu, priemyselného výskumu a experimentálneho vývoja až po pôvodný vývoj. Pôvodný vývoj prvého výrobku, služby alebo práce môže zahŕňať obmedzenú výrobu alebo dodávku s cieľom začleniť výsledky testovania v teréne a preukázať, že dotknutý výrobok, služba alebo práca sú vhodné na výrobu alebo dodávku v množstve na prijateľnej úrovni kvality, ale nezahŕňa hromadnú výrobu alebo dodávku na dosiahnutie obchodnej životaschopnosti alebo na náhradu nákladov na výskum a vývoj. Obstarávanie výskumu a vývoja môže zahŕňať získanie vlastníctva prototypov alebo prvých výrobkov, služieb alebo prác, ktoré sú vyvinuté na žiadosť obstarávateľa v priebehu konkrétnej verejnej zákazky na poskytnutie služieb výskumu a vývoja a pre ňu, ale nezahŕňa komerčné využitie konečných výrobkov, služieb alebo prác.</w:t>
      </w:r>
    </w:p>
    <w:p>
      <w:r>
        <w:t>17. „obstarávateľ“ je verejný obstarávateľ v súlade s článkom 7 alebo sektorový obstarávateľ v súlade s článkom 8;</w:t>
      </w:r>
    </w:p>
    <w:p>
      <w:r>
        <w:t>18. „verejná zákazka“ je odplatná zmluva uzavretá písomne medzi jedným alebo viacerými hospodárskymi subjektmi a jedným alebo viacerými obstarávateľmi, ktorej predmetom je vykonanie prác, dodávka výrobkov alebo poskytnutie služieb;</w:t>
      </w:r>
    </w:p>
    <w:p>
      <w:r>
        <w:t>19. „verejné zákazky na služby“ sú verejné zákazky, ktorých predmetom je poskytnutie iných služieb, ako sú služby uvedené v bode 22;</w:t>
      </w:r>
    </w:p>
    <w:p>
      <w:r>
        <w:t>20. „verejné zhrnutie“ je prehľad obstarávania v danom čase uverejnený obstarávateľom;</w:t>
      </w:r>
    </w:p>
    <w:p>
      <w:r>
        <w:t>21. „verejná zákazka na dodanie tovaru“ je verejná zákazka, ktorej predmetom je nákup, lízing, prenájom alebo kúpa výrobkov na splátky s možnosťou odkúpenia alebo bez takejto možnosti. Výrobky môžu byť nové, použité, renovované, repasované a výrobok ako služba. Verejná zákazka na dodanie tovaru môže ako vedľajší predmet zahŕňať aj montáž a inštaláciu;</w:t>
      </w:r>
    </w:p>
    <w:p>
      <w:r>
        <w:t>22. „verejná zákazka na práce“ je verejná zákazka, ktorej predmetom je:</w:t>
      </w:r>
    </w:p>
    <w:p>
      <w:r>
        <w:t>a) vykonanie prác alebo vypracovanie projektovej dokumentácie a vykonanie prác súvisiacich s jednou z činností v zmysle prílohy V;</w:t>
      </w:r>
    </w:p>
    <w:p>
      <w:r>
        <w:t>b) uskutočnenie stavebných prác alebo vypracovanie projektovej dokumentácie a uskutočnenie stavebných prác;</w:t>
      </w:r>
    </w:p>
    <w:p>
      <w:r>
        <w:t>c) realizácia diela akýmkoľvek spôsobom zodpovedajúcim požiadavkám špecifikovaným verejným obstarávateľom, ktorý má rozhodujúci vplyv na druh alebo projekt diela;</w:t>
      </w:r>
    </w:p>
    <w:p>
      <w:r>
        <w:t>23. „spoločenská výzva“ je vývoj alebo situácia, ktorá má vplyv na účinné a efektívne plnenie verejných úloh a ovplyvňuje fungovanie dotknutého obstarávateľa alebo obstarávateľov alebo osôb, ktoré sa spoliehajú na tieto služby;</w:t>
      </w:r>
    </w:p>
    <w:p>
      <w:r>
        <w:t>24. „návrh inovačného riešenia“ je návrh hospodárskeho subjektu, v ktorom sa uvádza jeho inovačný prístup k riešeniu spoločenskej výzvy vrátane súvisiacich rizík, potenciálneho vplyvu a prínosov a jeho vízie vývoja, testovania a vykonávania inovačného riešenia v spolupráci s obstarávateľom;</w:t>
      </w:r>
    </w:p>
    <w:p>
      <w:r>
        <w:t>25. „subdodávateľ“ je hospodársky subjekt, ktorý prostredníctvom zmluvných prostriedkov získava od hospodárskeho subjektu, ktorému bola zadaná takáto verejná zákazka, zodpovednosť za plnenie časti verejnej zákazky – s výnimkou samotného poskytnutia tovaru alebo častí, ktoré sú potrebné na uskutočnenie stavebných prác alebo poskytnutie služby;</w:t>
      </w:r>
    </w:p>
    <w:p>
      <w:r>
        <w:t>26. „predmet zákazky“ sú práce, služby alebo tovar, ktoré má obstarávateľ v úmysle nadobudnúť prostredníctvom obstarávania s cieľom uspokojiť svoje potreby;</w:t>
      </w:r>
    </w:p>
    <w:p>
      <w:r>
        <w:t>27. „stavba“ je výsledok stavebných prác alebo stavebno-inžinierskych prác ako celku, ktorý sám osebe postačuje na to, aby plnil ekonomickú alebo technickú funkciu.</w:t>
      </w:r>
    </w:p>
    <w:p>
      <w:r>
        <w:rPr>
          <w:sz w:val="16"/>
        </w:rPr>
        <w:t>25 Nariadenie Európskeho parlamentu a Rady (EÚ) č. 1025/2012 z 25. októbra 2012 o európskej normalizácii, ktorým sa menia a dopĺňajú smernice Rady 89/686/EHS a 93/15/EHS a smernice Európskeho parlamentu a Rady 94/9/ES, 94/25/ES, 95/16/ES, 97/23/ES, 98/34/ES, 2004/22/ES, 2007/23/ES, 2009/23/ES a 2009/105/ES a ktorým sa zrušuje rozhodnutie Rady 87/95/EHS a rozhodnutie Európskeho parlamentu a Rady č. 1673/2006/ES (Ú. v. EÚ L 316, 14.11.2012, s. 12, ELI: http://data.europa.eu/eli/reg/2012/1025/oj).</w:t>
      </w:r>
    </w:p>
    <w:p>
      <w:r>
        <w:rPr>
          <w:sz w:val="16"/>
        </w:rPr>
        <w:t>26 Odporúčanie Komisie zo 6. mája 2003 o vymedzení mikropodnikov, malých a stredných podnikov [oznámené pod číslom dokumentu C(2003) 1422] (Ú. v. EÚ L 124, 20.5.2003, s. 36, ELI: http://data.europa.eu/eli/reco/2003/361/oj)</w:t>
      </w:r>
    </w:p>
    <w:p>
      <w:pPr>
        <w:pStyle w:val="Heading2"/>
        <w:jc w:val="center"/>
      </w:pPr>
      <w:r>
        <w:t>Časť II</w:t>
      </w:r>
    </w:p>
    <w:p>
      <w:pPr>
        <w:pStyle w:val="Heading2"/>
        <w:jc w:val="center"/>
      </w:pPr>
      <w:r>
        <w:t>Dotknuté subjekty</w:t>
      </w:r>
    </w:p>
    <w:p>
      <w:pPr>
        <w:pStyle w:val="Heading2"/>
        <w:jc w:val="center"/>
      </w:pPr>
      <w:r>
        <w:t>Hlava I</w:t>
      </w:r>
    </w:p>
    <w:p>
      <w:pPr>
        <w:pStyle w:val="Heading2"/>
        <w:jc w:val="center"/>
      </w:pPr>
      <w:r>
        <w:t>Obstarávatelia</w:t>
      </w:r>
    </w:p>
    <w:p>
      <w:pPr>
        <w:pStyle w:val="Heading2"/>
        <w:jc w:val="center"/>
      </w:pPr>
      <w:r>
        <w:t>Kapitola 1</w:t>
      </w:r>
    </w:p>
    <w:p>
      <w:pPr>
        <w:pStyle w:val="Heading2"/>
        <w:jc w:val="center"/>
      </w:pPr>
      <w:r>
        <w:t>Identifikácia obstarávateľov</w:t>
      </w:r>
    </w:p>
    <w:p>
      <w:pPr>
        <w:pStyle w:val="Heading3"/>
        <w:jc w:val="center"/>
      </w:pPr>
      <w:r>
        <w:t>Článok 7</w:t>
      </w:r>
    </w:p>
    <w:p>
      <w:pPr>
        <w:pStyle w:val="Heading4"/>
        <w:jc w:val="center"/>
      </w:pPr>
      <w:r>
        <w:t>Verejní obstarávatelia</w:t>
      </w:r>
    </w:p>
    <w:p>
      <w:r>
        <w:t>1. Na účely tohto nariadenia sú verejnými obstarávateľmi ústredné orgány štátnej správy, orgány štátnej správy na nižšej ako ústrednej úrovni, verejnoprávne inštitúcie alebo združenia tvorené jedným alebo viacerými takýmito verejnými obstarávateľmi bez ohľadu na to, či postup obstarávania vykonáva jedna alebo viacero konkrétnych administratívnych jednotiek v rámci nich.</w:t>
      </w:r>
    </w:p>
    <w:p>
      <w:r>
        <w:t>2. Na účely tohto nariadenia sú ústrednými orgánmi štátnej správy orgány uvedené v prílohe I, a pokiaľ sa vykonali opravy alebo zmeny na vnútroštátnej úrovni, nástupnícke subjekty týchto orgánov.</w:t>
      </w:r>
    </w:p>
    <w:p>
      <w:r>
        <w:t>Ak sa opravy alebo zmeny vykonajú na vnútroštátnej úrovni, členské štáty to oznámia Komisii do troch mesiacov.</w:t>
      </w:r>
    </w:p>
    <w:p>
      <w:r>
        <w:t>3. Orgány štátnej správy na nižšej ako ústrednej úrovni sú ktorékoľvek z týchto orgánov:</w:t>
      </w:r>
    </w:p>
    <w:p>
      <w:r>
        <w:t>a) Štátne, regionálne alebo miestne orgány iné ako tie, ktoré sú uvedené v prílohe I;</w:t>
      </w:r>
    </w:p>
    <w:p>
      <w:r>
        <w:t>b) centrálne obstarávacie organizácie, ktoré samotné nie sú ústrednými orgánmi štátnej správy;</w:t>
      </w:r>
    </w:p>
    <w:p>
      <w:r>
        <w:t>c) verejnoprávne inštitúcie, ako sú opísané v odseku 4.</w:t>
      </w:r>
    </w:p>
    <w:p>
      <w:r>
        <w:t>4. Na účely tohto nariadenia sú subjektmi, ktoré sa spravujú verejným právom, subjekty, ktoré spĺňajú všetky tieto podmienky:</w:t>
      </w:r>
    </w:p>
    <w:p>
      <w:r>
        <w:t>a) ich osobitným účelom je uspokojovať potreby všeobecného záujmu a nemajú priemyselný ani komerčný charakter;</w:t>
      </w:r>
    </w:p>
    <w:p>
      <w:r>
        <w:t>b) majú právnu subjektivitu;</w:t>
      </w:r>
    </w:p>
    <w:p>
      <w:r>
        <w:t>c) sú z viac ako 50 % financované štátnymi, regionálnymi alebo miestnymi orgánmi alebo inými verejnoprávnymi inštitúciami; alebo podliehajú riadeniu a dohľadu týchto orgánov alebo subjektov; alebo majú správnu, riadiacu alebo dozornú radu, v ktorej viac ako polovicu ich členov vymenúvajú štátne, regionálne alebo miestne orgány alebo iné verejnoprávne inštitúcie.</w:t>
      </w:r>
    </w:p>
    <w:p>
      <w:r>
        <w:t>5. Komisia je splnomocnená prijímať delegované akty v súlade s článkom 141 s cieľom zmeniť prílohu I aktualizáciou zoznamu ústredných orgánov štátnej správy na základe oznámení prijatých od členských štátov podľa odseku 2 tohto článku.</w:t>
      </w:r>
    </w:p>
    <w:p>
      <w:pPr>
        <w:pStyle w:val="Heading3"/>
        <w:jc w:val="center"/>
      </w:pPr>
      <w:r>
        <w:t>Článok 8</w:t>
      </w:r>
    </w:p>
    <w:p>
      <w:pPr>
        <w:pStyle w:val="Heading4"/>
        <w:jc w:val="center"/>
      </w:pPr>
      <w:r>
        <w:t>Sektoroví obstarávatelia</w:t>
      </w:r>
    </w:p>
    <w:p>
      <w:r>
        <w:t>1. Na účely tohto nariadenia sú sektorovými obstarávateľmi verejní obstarávatelia, verejné podniky a subjekty, ktoré pôsobia na základe osobitných alebo výlučných práv a ktoré vykonávajú jednu alebo viacero činností uvedených v článkoch 12 až 18 alebo akúkoľvek ich kombináciu, pokiaľ táto činnosť nie je priamo vystavená hospodárskej súťaži na trhoch, na ktoré nie je obmedzený prístup v zmysle článku 19.</w:t>
      </w:r>
    </w:p>
    <w:p>
      <w:r>
        <w:t>2. Verejný podnik je každý podnik, na ktorý môže mať jeden alebo viacerí verejní obstarávatelia priamo alebo nepriamo dominantný vplyv prostredníctvom jeho vlastníctva, finančnej účasti v ňom alebo pravidiel, ktorými sa riadi.</w:t>
      </w:r>
    </w:p>
    <w:p>
      <w:r>
        <w:t>Predpokladá sa, že verejní obstarávatelia uplatňujú dominantný vplyv v ktoromkoľvek z týchto prípadov, v ktorých priamo alebo nepriamo:</w:t>
      </w:r>
    </w:p>
    <w:p>
      <w:r>
        <w:t>a) vlastnia väčšinu upísaného základného imania podniku;</w:t>
      </w:r>
    </w:p>
    <w:p>
      <w:r>
        <w:t>b) kontrolujú väčšinu hlasov spojených s akciami vydanými podnikom;</w:t>
      </w:r>
    </w:p>
    <w:p>
      <w:r>
        <w:t>c) môže vymenovať viac ako polovicu členov správneho, riadiaceho alebo dozorného orgánu podniku.</w:t>
      </w:r>
    </w:p>
    <w:p>
      <w:r>
        <w:t>3. Na účely tohto nariadenia sú osobitnými alebo výlučnými právami práva udelené príslušným orgánom členského štátu prostredníctvom akéhokoľvek legislatívneho, regulačného alebo správneho opatrenia, ktorého účinkom je obmedzenie výkonu činností uvedených v článkoch 12 až 18 na jeden alebo viacero subjektov a ktoré podstatne ovplyvňuje schopnosť iných subjektov vykonávať takúto činnosť.</w:t>
      </w:r>
    </w:p>
    <w:p>
      <w:r>
        <w:t>Práva, ktoré boli udelené na základe postupu, v rámci ktorého sa zaistilo primerané uverejnenie, a kde sa udelenie týchto práv zakladalo na objektívnych kritériách, nepredstavujú osobitné alebo výlučné práva v zmysle prvého pododseku.</w:t>
      </w:r>
    </w:p>
    <w:p>
      <w:r>
        <w:t>Postupy uvedené v druhom pododseku zahŕňajú okrem iného:</w:t>
      </w:r>
    </w:p>
    <w:p>
      <w:r>
        <w:t>a) postupy obstarávania s predchádzajúcou výzvou na súťaž v súlade so smernicou 2009/81/ES[27] alebo verejným zhrnutím hospodárskej súťaže podľa tohto nariadenia;</w:t>
      </w:r>
    </w:p>
    <w:p>
      <w:r>
        <w:t>b) postupy podľa iných právnych aktov Únie, ktorými sa zabezpečuje primeraná predchádzajúca transparentnosť udeľovania povolení na základe objektívnych kritérií, okrem iného vrátane postupov podľa právnych aktov Únie uvedených v prílohe III.</w:t>
      </w:r>
    </w:p>
    <w:p>
      <w:r>
        <w:rPr>
          <w:sz w:val="16"/>
        </w:rPr>
        <w:t>27 Smernica Európskeho parlamentu a Rady 2009/81/ES z 13. júla 2009 o koordinácii postupov pre zadávanie určitých zákaziek na práce, zákaziek na dodávku tovaru a zákaziek na služby verejnými obstarávateľmi alebo obstarávateľmi v oblastiach obrany a bezpečnosti a o zmene a doplnení smerníc 2004/17/ES a 2004/18/ES (Ú. v. EÚ L 216, 20.8.2009, s. 76, ELI: http://data.europa.eu/eli/dir/2009/81/oj).</w:t>
      </w:r>
    </w:p>
    <w:p>
      <w:pPr>
        <w:pStyle w:val="Heading3"/>
        <w:jc w:val="center"/>
      </w:pPr>
      <w:r>
        <w:t>Článok 9</w:t>
      </w:r>
    </w:p>
    <w:p>
      <w:pPr>
        <w:pStyle w:val="Heading4"/>
        <w:jc w:val="center"/>
      </w:pPr>
      <w:r>
        <w:t>Centrálne obstarávacie organizácie</w:t>
      </w:r>
    </w:p>
    <w:p>
      <w:r>
        <w:t>1. Obstarávatelia môžu organizovať svoje činnosti obstarávania prostredníctvom vytvorenia a využívania centrálnych obstarávacích organizácií v súlade s pravidlami stanovenými v tomto článku.</w:t>
      </w:r>
    </w:p>
    <w:p>
      <w:r>
        <w:t>2. Na účely tohto nariadenia je centrálnou obstarávacou organizáciou každý obstarávateľ, ktorý vykonáva tieto činnosti:</w:t>
      </w:r>
    </w:p>
    <w:p>
      <w:r>
        <w:t>a) pôsobenie ako veľkoobchodník nakupovaním a ďalším predajom riešení zakúpených na trhu pre obstarávateľov;</w:t>
      </w:r>
    </w:p>
    <w:p>
      <w:r>
        <w:t>b) pôsobiť ako sprostredkovateľ uverejňovaním zhrnutí a zadávaním zákaziek pre obstarávateľov;</w:t>
      </w:r>
    </w:p>
    <w:p>
      <w:r>
        <w:t>Centrálne obstarávacie organizácie môžu okrem uvedených činností vykonávať činnosti spoločného obstarávania alebo sa na nich zúčastňovať, alebo poskytovať pomocné služby na podporu nákupu obstarávateľom vrátane technickej pomoci, technickej infraštruktúry alebo poradenstva.</w:t>
      </w:r>
    </w:p>
    <w:p>
      <w:r>
        <w:t>3. Obstarávatelia uvedú vo verejných súhrnoch podľa článku 110, kedy konajú ako centrálna obstarávacia organizácia.</w:t>
      </w:r>
    </w:p>
    <w:p>
      <w:r>
        <w:t>4. Každý obstarávateľ môže získať riešenia od ktorejkoľvek centrálnej obstarávacej organizácie usadenej v Únii alebo prostredníctvom nej bez uplatnenia postupov stanovených v tomto nariadení pre poskytovanie služieb centrálnej obstarávacej organizácie.</w:t>
      </w:r>
    </w:p>
    <w:p>
      <w:r>
        <w:t>5. Obstarávateľ, ktorý nadobúda riešenie od centrálnej obstarávacej organizácie alebo prostredníctvom nej, ktorá bola pre toto riešenie povinná uplatňovať toto nariadenie a uplatňovala ho, sa považuje za obstarávateľa, ktorý je v súlade s týmto nariadením, pokiaľ ide o obstarávanie tohto riešenia.</w:t>
      </w:r>
    </w:p>
    <w:p>
      <w:r>
        <w:t>6. Obstarávateľ, ktorý nadobúda riešenie od inštitúcie, orgánu, úradu alebo agentúry Únie alebo prostredníctvom nich, ktorá vykonáva spoločné obstarávanie, koná v mene členských štátov alebo koná ako centrálna obstarávacia organizácia podľa nariadenia (EÚ, Euratom) 2024/2509 [28] alebo iných právnych aktov Únie okrem tohto nariadenia, v ktorých sa stanovuje vykonávanie spoločného obstarávania alebo konanie v mene členských štátov alebo ako centrálna obstarávacia organizácia, sa považuje za obstarávateľa, ktorý je v súlade s týmto nariadením, pokiaľ ide o obstarávanie daného riešenia.</w:t>
      </w:r>
    </w:p>
    <w:p>
      <w:r>
        <w:rPr>
          <w:sz w:val="16"/>
        </w:rPr>
        <w:t>28 Nariadenie Európskeho parlamentu a Rady (EÚ, Euratom) 2024/2509 z 23. septembra 2024 o rozpočtových pravidlách, ktoré sa vzťahujú na všeobecný rozpočet Únie (prepracované znenie) (Ú. v. EÚ L, 2024/2509, 26.9.2024, ELI: http://data.europa.eu/eli/reg/2024/2509/oj).</w:t>
      </w:r>
    </w:p>
    <w:p>
      <w:pPr>
        <w:pStyle w:val="Heading3"/>
        <w:jc w:val="center"/>
      </w:pPr>
      <w:r>
        <w:t>Článok 10</w:t>
      </w:r>
    </w:p>
    <w:p>
      <w:pPr>
        <w:pStyle w:val="Heading4"/>
        <w:jc w:val="center"/>
      </w:pPr>
      <w:r>
        <w:t>Spoločné obstarávanie</w:t>
      </w:r>
    </w:p>
    <w:p>
      <w:r>
        <w:t>1. Dvaja alebo viacerí obstarávatelia vrátane tých z rôznych členských štátov môžu pri zadávaní určitých konkrétnych verejných zákaziek konať spoločne.</w:t>
      </w:r>
    </w:p>
    <w:p>
      <w:r>
        <w:t>2. Postup spoločného obstarávania sa riadi dohodou medzi zmluvnými stranami, v ktorej sa okrem iného stanovuje:</w:t>
      </w:r>
    </w:p>
    <w:p>
      <w:r>
        <w:t>a) príslušné povinnosti dotknutých strán, zodpovednosť za riadenie spoločného postupu, rozdelenie prác, tovaru alebo služieb, ktoré sa majú spoločne obstarať, alebo práva, ktoré sa majú previesť; podielu a</w:t>
      </w:r>
    </w:p>
    <w:p>
      <w:r>
        <w:t>b) ak obstarávatelia pochádzajú z rôznych členských štátov, právny systém, ktorým sa riadi postup, a následne právne predpisy uplatniteľné na spory, príslušný orgán zodpovedný za preskúmanie a príslušná jurisdikcia a právo, ktorým sa riadia výsledné verejné zákazky.</w:t>
      </w:r>
    </w:p>
    <w:p>
      <w:r>
        <w:t>Rozdelenie zodpovedností a uplatniteľné vnútroštátne právne predpisy sa uvedú v podrobnostiach verejného obstarávania pre spoločne obstarávané verejné zákazky.</w:t>
      </w:r>
    </w:p>
    <w:p>
      <w:r>
        <w:t>3. Týmto článkom nie je dotknutý článok 9 ods. 6 a článok 69 ods. 3 písm. f) tohto nariadenia a článok 168 ods. 2 a 3 nariadenia (EÚ, Euratom) 2024/2509 ani iné právne akty Únie.</w:t>
      </w:r>
    </w:p>
    <w:p>
      <w:pPr>
        <w:pStyle w:val="Heading2"/>
        <w:jc w:val="center"/>
      </w:pPr>
      <w:r>
        <w:t>Kapitola 2</w:t>
      </w:r>
    </w:p>
    <w:p>
      <w:pPr>
        <w:pStyle w:val="Heading2"/>
        <w:jc w:val="center"/>
      </w:pPr>
      <w:r>
        <w:t>Činnosti v odvetví verejnoprospešných služieb</w:t>
      </w:r>
    </w:p>
    <w:p>
      <w:pPr>
        <w:pStyle w:val="Heading2"/>
        <w:jc w:val="center"/>
      </w:pPr>
      <w:r>
        <w:t>Oddiel 1</w:t>
      </w:r>
    </w:p>
    <w:p>
      <w:pPr>
        <w:pStyle w:val="Heading2"/>
        <w:jc w:val="center"/>
      </w:pPr>
      <w:r>
        <w:t>ČINNOSTI, NA KTORÉ SA VZŤAHUJE TOTO NARIADENIE</w:t>
      </w:r>
    </w:p>
    <w:p>
      <w:pPr>
        <w:pStyle w:val="Heading3"/>
        <w:jc w:val="center"/>
      </w:pPr>
      <w:r>
        <w:t>Článok 11</w:t>
      </w:r>
    </w:p>
    <w:p>
      <w:pPr>
        <w:pStyle w:val="Heading4"/>
        <w:jc w:val="center"/>
      </w:pPr>
      <w:r>
        <w:t>Spoločné ustanovenia</w:t>
      </w:r>
    </w:p>
    <w:p>
      <w:r>
        <w:t>1. Na účely článkov 12, 13 a 14 „dodávka“ zahŕňa výrobu alebo produkciu, veľkoobchodný a maloobchodný predaj.</w:t>
      </w:r>
    </w:p>
    <w:p>
      <w:r>
        <w:t>2. Výroba plynu vo forme ťažby patrí do rozsahu pôsobnosti článku 18.</w:t>
      </w:r>
    </w:p>
    <w:p>
      <w:pPr>
        <w:pStyle w:val="Heading3"/>
        <w:jc w:val="center"/>
      </w:pPr>
      <w:r>
        <w:t>Článok 12</w:t>
      </w:r>
    </w:p>
    <w:p>
      <w:pPr>
        <w:pStyle w:val="Heading4"/>
        <w:jc w:val="center"/>
      </w:pPr>
      <w:r>
        <w:t>Plyn a teplo</w:t>
      </w:r>
    </w:p>
    <w:p>
      <w:r>
        <w:t>1. Pokiaľ ide o plyn a teplo, toto nariadenie sa vzťahuje na tieto činnosti:</w:t>
      </w:r>
    </w:p>
    <w:p>
      <w:r>
        <w:t>a) poskytovanie alebo prevádzkovanie pevných sietí určených na poskytovanie služieb verejnosti v súvislosti s výrobou, prepravou alebo distribúciou plynu alebo tepla;</w:t>
      </w:r>
    </w:p>
    <w:p>
      <w:r>
        <w:t>b) dodávky plynu alebo tepla do sietí uvedených v písmene a).</w:t>
      </w:r>
    </w:p>
    <w:p>
      <w:r>
        <w:t>2. Zásobovanie stálych sietí plynom alebo teplom, ktoré sektorový obstarávateľ, ktorý nie je verejným obstarávateľom, poskytuje ako službu verejnosti, nepredstavuje relevantnú činnosť v zmysle odseku 1 tohto článku, ak sú splnené obe tieto podmienky:</w:t>
      </w:r>
    </w:p>
    <w:p>
      <w:r>
        <w:t>a) výroba plynu alebo tepla týmto sektorovým obstarávateľom je nevyhnutným dôsledkom vykonávania iných činností, než sú činnosti uvedené v odseku 1 tohto článku alebo v článkoch 13, 14 alebo 15;</w:t>
      </w:r>
    </w:p>
    <w:p>
      <w:r>
        <w:t>b) zásobovanie verejnej siete je zamerané len na ekonomické využitie takejto výroby a nepredstavuje viac ako 20 % priemerného obratu sektorového obstarávateľa za tri roky predchádzajúce roku, v ktorom sa dodanie uskutočňuje.</w:t>
      </w:r>
    </w:p>
    <w:p>
      <w:pPr>
        <w:pStyle w:val="Heading3"/>
        <w:jc w:val="center"/>
      </w:pPr>
      <w:r>
        <w:t>Článok 13</w:t>
      </w:r>
    </w:p>
    <w:p>
      <w:pPr>
        <w:pStyle w:val="Heading4"/>
        <w:jc w:val="center"/>
      </w:pPr>
      <w:r>
        <w:t>Elektrina</w:t>
      </w:r>
    </w:p>
    <w:p>
      <w:r>
        <w:t>1. Pokiaľ ide o elektrinu, toto nariadenie sa vzťahuje na tieto činnosti:</w:t>
      </w:r>
    </w:p>
    <w:p>
      <w:r>
        <w:t>a) poskytovanie alebo prevádzkovanie pevných sietí určených na poskytovanie služby verejnosti v súvislosti s výrobou, prepravou alebo distribúciou elektrickej energie;</w:t>
      </w:r>
    </w:p>
    <w:p>
      <w:r>
        <w:t>b) dodávky elektrickej energie do sietí uvedených v písmene a).</w:t>
      </w:r>
    </w:p>
    <w:p>
      <w:r>
        <w:t>2. Zásobovanie pevných sietí elektrickou energiou, ktoré sektorový obstarávateľ, ktorý nie je verejným obstarávateľom, poskytuje ako službu verejnosti, sa nepovažuje za relevantnú činnosť v zmysle odseku 1 tohto článku, ak sú splnené obe tieto podmienky:</w:t>
      </w:r>
    </w:p>
    <w:p>
      <w:r>
        <w:t>a) daný sektorový obstarávateľ vyrába elektrinu, pretože jeho vlastná spotreba je potrebná na vykonávanie iných činností, než sú činnosti uvedené v odseku 1 tohto článku alebo v článkoch 12, 14 alebo 15;</w:t>
      </w:r>
    </w:p>
    <w:p>
      <w:r>
        <w:t>b) zásobovanie verejnej siete závisí len od vlastnej spotreby tohto sektorového obstarávateľa a nepresahuje 30 % celkovej výroby energie tohto sektorového obstarávateľa na základe priemeru za tri roky predchádzajúce roku, v ktorom sa dodanie uskutočňuje.</w:t>
      </w:r>
    </w:p>
    <w:p>
      <w:pPr>
        <w:pStyle w:val="Heading3"/>
        <w:jc w:val="center"/>
      </w:pPr>
      <w:r>
        <w:t>Článok 14</w:t>
      </w:r>
    </w:p>
    <w:p>
      <w:pPr>
        <w:pStyle w:val="Heading4"/>
        <w:jc w:val="center"/>
      </w:pPr>
      <w:r>
        <w:t>Voda</w:t>
      </w:r>
    </w:p>
    <w:p>
      <w:r>
        <w:t>1. Pokiaľ ide o vodu, toto nariadenie sa vzťahuje na tieto činnosti:</w:t>
      </w:r>
    </w:p>
    <w:p>
      <w:r>
        <w:t>a) poskytovanie alebo prevádzkovanie pevných sietí určených na poskytovanie služieb verejnosti v súvislosti s výrobou, prepravou alebo distribúciou pitnej vody;</w:t>
      </w:r>
    </w:p>
    <w:p>
      <w:r>
        <w:t>b) zásobovanie sietí uvedených v písmene a) pitnou vodou.</w:t>
      </w:r>
    </w:p>
    <w:p>
      <w:r>
        <w:t>2. Toto nariadenie sa uplatňuje aj na zákazky zadávané sektorovými obstarávateľmi, ktorí vykonávajú činnosť uvedenú v odseku 1 a ktorí sú spojení s jednou z týchto činností:</w:t>
      </w:r>
    </w:p>
    <w:p>
      <w:r>
        <w:t>a) vodohospodárske inžinierske projekty, zavlažovanie alebo odvodňovanie pôdy za predpokladu, že objem vody, ktorý sa má použiť na zásobovanie pitnou vodou, predstavuje viac ako 20 % celkového objemu vody dostupnej v rámci takýchto projektov alebo zavlažovacích alebo odvodňovacích zariadení;</w:t>
      </w:r>
    </w:p>
    <w:p>
      <w:r>
        <w:t>b) zneškodňovanie alebo čistenie odpadových vôd.</w:t>
      </w:r>
    </w:p>
    <w:p>
      <w:r>
        <w:t>3. Zásobovanie stálych sietí pitnou vodou, ktoré sektorový obstarávateľ, ktorý nie je verejným obstarávateľom, poskytuje ako službu verejnosti, sa nepovažuje za relevantnú činnosť v zmysle odseku 1 tohto článku, ak sú splnené obe tieto podmienky:</w:t>
      </w:r>
    </w:p>
    <w:p>
      <w:r>
        <w:t>a) daný sektorový obstarávateľ vyrába pitnú vodu, pretože jej spotreba daným sektorovým obstarávateľom je nevyhnutná na vykonávanie inej činnosti, než sú činnosti uvedené v článkoch 14 až 17;</w:t>
      </w:r>
    </w:p>
    <w:p>
      <w:r>
        <w:t>b) zásobovanie verejnej siete závisí len od vlastnej spotreby tohto sektorového obstarávateľa a nepresahuje 30 % celkovej produkcie pitnej vody tohto sektorového obstarávateľa na základe priemeru za tri roky predchádzajúce roku, v ktorom sa dodanie uskutočňuje.</w:t>
      </w:r>
    </w:p>
    <w:p>
      <w:pPr>
        <w:pStyle w:val="Heading3"/>
        <w:jc w:val="center"/>
      </w:pPr>
      <w:r>
        <w:t>Článok 15</w:t>
      </w:r>
    </w:p>
    <w:p>
      <w:pPr>
        <w:pStyle w:val="Heading4"/>
        <w:jc w:val="center"/>
      </w:pPr>
      <w:r>
        <w:t>Dopravné služby</w:t>
      </w:r>
    </w:p>
    <w:p>
      <w:r>
        <w:t>1. Toto nariadenie sa vzťahuje na poskytovanie alebo prevádzkovanie sietí poskytujúcich službu verejnosti v oblasti železničnej dopravy, automatizovaných systémov, električkovej, trolejbusovej, autobusovej alebo lanovej dopravy.</w:t>
      </w:r>
    </w:p>
    <w:p>
      <w:r>
        <w:t>2. Čo sa týka dopravných služieb, sieť sa považuje za existujúcu, ak sa služba poskytuje za prevádzkových podmienok ustanovených príslušným orgánom členského štátu, ako sú napríklad podmienky trás, na ktorých sa majú služby poskytovať, prepravná kapacita, ktorá má byť k dispozícii, alebo frekvencia služieb.</w:t>
      </w:r>
    </w:p>
    <w:p>
      <w:pPr>
        <w:pStyle w:val="Heading3"/>
        <w:jc w:val="center"/>
      </w:pPr>
      <w:r>
        <w:t>Článok 16</w:t>
      </w:r>
    </w:p>
    <w:p>
      <w:pPr>
        <w:pStyle w:val="Heading4"/>
        <w:jc w:val="center"/>
      </w:pPr>
      <w:r>
        <w:t>Prístavy a letiská</w:t>
      </w:r>
    </w:p>
    <w:p>
      <w:r>
        <w:t>Toto nariadenie sa vzťahuje na využívanie zemepisnej oblasti na účely poskytovania letísk a námorných alebo vnútrozemských prístavov alebo iných terminálových zariadení dopravcom v leteckej, námornej alebo vnútrozemskej vodnej doprave.</w:t>
      </w:r>
    </w:p>
    <w:p>
      <w:pPr>
        <w:pStyle w:val="Heading3"/>
        <w:jc w:val="center"/>
      </w:pPr>
      <w:r>
        <w:t>Článok 17</w:t>
      </w:r>
    </w:p>
    <w:p>
      <w:pPr>
        <w:pStyle w:val="Heading4"/>
        <w:jc w:val="center"/>
      </w:pPr>
      <w:r>
        <w:t>Oblasť pošty</w:t>
      </w:r>
    </w:p>
    <w:p>
      <w:r>
        <w:t>1. Toto nariadenie sa vzťahuje na činnosti súvisiace s poskytovaním týchto služieb:</w:t>
      </w:r>
    </w:p>
    <w:p>
      <w:r>
        <w:t>a) poštové služby;</w:t>
      </w:r>
    </w:p>
    <w:p>
      <w:r>
        <w:t>b) iné ako poštové služby pod podmienkou, že takéto služby poskytuje subjekt, ktorý poskytuje aj poštové služby vymedzené v odseku 2 písm. b) tohto článku, a za predpokladu, že v súvislosti s týmito službami nie sú splnené podmienky stanovené v článku 19.</w:t>
      </w:r>
    </w:p>
    <w:p>
      <w:r>
        <w:t>2. Na účely tohto článku a bez toho, aby bola dotknutá smernica Európskeho parlamentu a Rady 97/67/ES[29]:</w:t>
      </w:r>
    </w:p>
    <w:p>
      <w:r>
        <w:t>a) „poštová zásielka“ je zásielka adresovaná v konečnej podobe, v ktorej sa má prepraviť, bez ohľadu na jej hmotnosť. Okrem korešpondencie takéto zásielky zahŕňajú napríklad aj knihy, katalógy, noviny, periodiká a poštové balíky obsahujúce tovar s komerčnou hodnotou alebo bez nej, a to bez ohľadu na hmotnosť;</w:t>
      </w:r>
    </w:p>
    <w:p>
      <w:r>
        <w:t>b) „poštové služby“ sú služby pozostávajúce z vyberania, triedenia, smerovania a doručovania poštových zásielok vrátane služieb, ktoré patria aj nepatria do rozsahu povinnosti univerzálnej služby stanovenej v článku 3 smernice 97/67/ES;</w:t>
      </w:r>
    </w:p>
    <w:p>
      <w:r>
        <w:t>c) „služby iné ako poštové služby“ sú služby poskytované v týchto oblastiach:</w:t>
      </w:r>
    </w:p>
    <w:p>
      <w:r>
        <w:t>i) služby riadenia zásielkových služieb pred odoslaním aj po ňom vrátane služieb riadenia podateľní;</w:t>
      </w:r>
    </w:p>
    <w:p>
      <w:r>
        <w:t>ii) služby týkajúce sa poštových zásielok, ktoré nie sú zahrnuté v písmene a), ako je priama pošta bez adresy.</w:t>
      </w:r>
    </w:p>
    <w:p>
      <w:r>
        <w:rPr>
          <w:sz w:val="16"/>
        </w:rPr>
        <w:t>29 Smernica Európskeho parlamentu a Rady 97/67/ES z 15. decembra 1997 o spoločných pravidlách rozvoja vnútorného trhu poštových služieb Spoločenstva a zlepšovaní kvality služieb (Ú. v. ES L 15, 21.1.1998, s. 14, ELI: http://data.europa.eu/eli/dir/1997/67/oj).</w:t>
      </w:r>
    </w:p>
    <w:p>
      <w:pPr>
        <w:pStyle w:val="Heading3"/>
        <w:jc w:val="center"/>
      </w:pPr>
      <w:r>
        <w:t>Článok 18</w:t>
      </w:r>
    </w:p>
    <w:p>
      <w:pPr>
        <w:pStyle w:val="Heading4"/>
        <w:jc w:val="center"/>
      </w:pPr>
      <w:r>
        <w:t>Ťažba a prieskum zdrojov energie</w:t>
      </w:r>
    </w:p>
    <w:p>
      <w:r>
        <w:t>Toto nariadenie sa vzťahuje na využívanie zemepisnej oblasti na účely:</w:t>
      </w:r>
    </w:p>
    <w:p>
      <w:r>
        <w:t>a) ťažba ropy alebo plynu;</w:t>
      </w:r>
    </w:p>
    <w:p>
      <w:r>
        <w:t>b) prieskum alebo ťažba uhlia alebo iných tuhých palív.</w:t>
      </w:r>
    </w:p>
    <w:p>
      <w:pPr>
        <w:pStyle w:val="Heading2"/>
        <w:jc w:val="center"/>
      </w:pPr>
      <w:r>
        <w:t>Oddiel 2</w:t>
      </w:r>
    </w:p>
    <w:p>
      <w:pPr>
        <w:pStyle w:val="Heading2"/>
        <w:jc w:val="center"/>
      </w:pPr>
      <w:r>
        <w:t>VYŇATIE NIEKTORÝCH ČINNOSTÍ V ODVETVÍ VEREJNOPROSPEŠNÝCH SLUŽIEB</w:t>
      </w:r>
    </w:p>
    <w:p>
      <w:pPr>
        <w:pStyle w:val="Heading3"/>
        <w:jc w:val="center"/>
      </w:pPr>
      <w:r>
        <w:t>Článok 19</w:t>
      </w:r>
    </w:p>
    <w:p>
      <w:pPr>
        <w:pStyle w:val="Heading4"/>
        <w:jc w:val="center"/>
      </w:pPr>
      <w:r>
        <w:t>Činnosti priamo vystavené hospodárskej súťaži</w:t>
      </w:r>
    </w:p>
    <w:p>
      <w:r>
        <w:t>1. Toto nariadenie sa nevzťahuje na zákazky na vykonávanie činností uvedených v článkoch 12 až 18 s ohľadom na danú geografickú oblasť, ak je činnosť priamo vystavená hospodárskej súťaži na trhoch, na ktoré nie je obmedzený prístup v danej geografickej oblasti, ak je to stanovené vo vykonávacom akte prijatom podľa článku 20 ods. 4.</w:t>
      </w:r>
    </w:p>
    <w:p>
      <w:r>
        <w:t>2. Na účely odseku 1 sa o otázke, či je činnosť priamo vystavená hospodárskej súťaži, rozhodne na základe kritérií, ktoré sú v súlade s ustanoveniami zmluvy o hospodárskej súťaži, a bez toho, aby bolo dotknuté uplatňovanie práva hospodárskej súťaže na situáciu, ktorá je predmetom rozhodnutia. Tieto kritériá môžu zahŕňať:</w:t>
      </w:r>
    </w:p>
    <w:p>
      <w:r>
        <w:t>a) vlastnosti dotknutých výrobkov alebo služieb;</w:t>
      </w:r>
    </w:p>
    <w:p>
      <w:r>
        <w:t>b) existencia alternatívnych výrobkov alebo služieb považovaných za nahraditeľné na strane ponuky alebo dopytu;</w:t>
      </w:r>
    </w:p>
    <w:p>
      <w:r>
        <w:t>c) ceny; podielu a</w:t>
      </w:r>
    </w:p>
    <w:p>
      <w:r>
        <w:t>d) skutočnú alebo potenciálnu prítomnosť viac ako jedného dodávateľa predmetných výrobkov alebo poskytovateľa predmetných služieb na relevantnom trhu.</w:t>
      </w:r>
    </w:p>
    <w:p>
      <w:r>
        <w:t>Dotknutá činnosť môže tvoriť súčasť väčšieho odvetvia alebo sa môže vykonávať len v určitých častiach územia Únie vrátane určitých častí členských štátov.</w:t>
      </w:r>
    </w:p>
    <w:p>
      <w:r>
        <w:t>3. Zemepisná oblasť, na základe ktorej sa posudzuje priame vystavenie hospodárskej súťaži, pozostáva z oblasti, v ktorej sú príslušné podniky zapojené do ponuky a dopytu po výrobkoch alebo službách, v ktorej sú podmienky hospodárskej súťaže dostatočne homogénne a ktorú možno odlíšiť od susedných oblastí najmä preto, že podmienky hospodárskej súťaže sú v týchto oblastiach značne odlišné. V tomto posúdení sa v prvom rade zohľadnia značné rozdiely v podieloch podnikov na trhu a existencia prekážok vstupu na trh alebo preferencií spotrebiteľov. Zohľadní aj faktory, ako je povaha a vlastnosti dotknutých výrobkov alebo služieb a akékoľvek podstatné cenové rozdiely medzi dotknutou oblasťou a susednými oblasťami. Územná pôsobnosť oblasti, na základe ktorej sa posudzuje vystavenie hospodárskej súťaži, sa obmedzuje na územie členského štátu.</w:t>
      </w:r>
    </w:p>
    <w:p>
      <w:r>
        <w:t>4. Na účely odseku 1 sa prístup na trh nepovažuje za obmedzený, ak členský štát vykonal a uplatnil právne akty Únie uvedené v prílohe IV. V opačnom prípade sa preukáže, že prístup na príslušný trh je z právneho a faktického hľadiska voľný.</w:t>
      </w:r>
    </w:p>
    <w:p>
      <w:pPr>
        <w:pStyle w:val="Heading3"/>
        <w:jc w:val="center"/>
      </w:pPr>
      <w:r>
        <w:t>Článok 20</w:t>
      </w:r>
    </w:p>
    <w:p>
      <w:pPr>
        <w:pStyle w:val="Heading4"/>
        <w:jc w:val="center"/>
      </w:pPr>
      <w:r>
        <w:t>Postup udeľovania výnimiek</w:t>
      </w:r>
    </w:p>
    <w:p>
      <w:r>
        <w:t>1. Ak sa členský štát alebo sektorový obstarávateľ domnieva, že daná činnosť je priamo vystavená hospodárskej súťaži na trhoch, na ktoré nie je obmedzený prístup, môže ako prípravný krok k možnej formálnej žiadosti o výnimku predložiť Komisii predbežnú otázku o uplatniteľnosti článku 19 podľa odseku 2 tohto článku alebo priamo formálnu žiadosť o výnimku podľa odseku 3 tohto článku s cieľom stanoviť, že na predmetnú činnosť sa toto nariadenie nevzťahuje.</w:t>
      </w:r>
    </w:p>
    <w:p>
      <w:r>
        <w:t>2. Počas nepovinnej prípravnej fázy nasledujúcej po predložení predbežnej otázky Komisia v duchu lojálnej spolupráce vykoná počiatočné posúdenie podmienok stanovených v článku 19. Takéto posúdenie sa zakladá na všetkých informáciách relevantných pre danú činnosť, ktoré už má Komisia k dispozícii alebo ktoré má k dispozícii. Komisia môže na doplnenie informácií, ktoré už má k dispozícii, požiadať dotknutého sektorového obstarávateľa alebo dotknutý členský štát alebo akúkoľvek inú stranu príslušnú v súvislosti s danou činnosťou a dotknutým trhom o dodatočné informácie. Komisia môže vyzvať sektorového obstarávateľa, členský štát a iné dotknuté strany na ďalšiu písomnú alebo ústnu výmenu informácií s cieľom preskúmať, či sú splnené podmienky na udelenie výnimky, a to aj pokiaľ ide o objasnenie chýbajúcich skutočností, údajov alebo odôvodnenia.</w:t>
      </w:r>
    </w:p>
    <w:p>
      <w:r>
        <w:t>Komisia odpovie na otázku predbežného posúdenia do 180 kalendárnych dní od jej predloženia. Ak informácie zhromaždené pri posudzovaní predbežnej otázky postačujú na vyvodenie záveru, že podmienky stanovené v článku 19 sú splnené, Komisia ukončí prípravnú fázu, upustí od predkladania formálnej žiadosti o výnimku a prijme vykonávací akt, v ktorom vyhlási, že príslušná činnosť bola vyňatá podľa odseku 4 tohto článku.</w:t>
      </w:r>
    </w:p>
    <w:p>
      <w:r>
        <w:t>Dotknutý členský štát alebo sektorový obstarávateľ môže predložiť formálnu žiadosť kedykoľvek pred uplynutím lehoty uvedenej v druhom pododseku.</w:t>
      </w:r>
    </w:p>
    <w:p>
      <w:r>
        <w:t>Ak informácie zhromaždené pri posudzovaní predbežnej otázky nie sú dostatočné na vyvodenie záveru, že podmienky stanovené v článku 19 sú splnené, Komisia informuje dotknutý členský štát alebo sektorového obstarávateľa, na základe čoho sa členský štát alebo sektorový obstarávateľ môže rozhodnúť predložiť formálnu žiadosť o výnimku podľa odseku 3 tohto článku.</w:t>
      </w:r>
    </w:p>
    <w:p>
      <w:r>
        <w:t>3. Po predložení formálnej žiadosti o výnimku, a to buď priamo, alebo po nejednoznačnom, negatívnom alebo čiastočne negatívnom výsledku prípravnej fázy, Komisia vykoná úplné posúdenie podmienok stanovených v článku 19. Formálna žiadosť o výnimku musí obsahovať všetky relevantné skutočnosti, a najmä informácie o všetkých zákonoch, iných právnych predpisoch, správnych opatreniach alebo dohodách týkajúcich sa dodržiavania týchto podmienok. Môže zahŕňať stanovisko prijaté nezávislým vnútroštátnym orgánom, ktorý je príslušný vo vzťahu k dotknutej činnosti. Forma, obsah a ďalšie podrobnosti žiadosti o výnimku sa riadia požiadavkami vykonávacieho aktu na základe odseku 10 tohto článku.</w:t>
      </w:r>
    </w:p>
    <w:p>
      <w:r>
        <w:t>4. Po posúdení predložených informácií Komisia prostredníctvom vykonávacích aktov prijatých v lehotách stanovených v druhom pododseku tohto odseku stanoví, či je činnosť priamo vystavená hospodárskej súťaži na základe kritérií stanovených v článku 19. Uvedené vykonávacie akty sa prijmú v súlade s postupom uvedeným v článku 143 ods. 2.</w:t>
      </w:r>
    </w:p>
    <w:p>
      <w:r>
        <w:t>Na činnosť sa toto nariadenie prestane vzťahovať, ak:</w:t>
      </w:r>
    </w:p>
    <w:p>
      <w:r>
        <w:t>a) Komisia prijala vykonávací akt, v ktorom sa stanovuje, že činnosť je priamo vystavená hospodárskej súťaži v lehote stanovenej v písmene b);</w:t>
      </w:r>
    </w:p>
    <w:p>
      <w:r>
        <w:t>b) Komisia neprijala vykonávací akt v týchto lehotách:</w:t>
      </w:r>
    </w:p>
    <w:p>
      <w:r>
        <w:t>i) v prípade, že k žiadosti o výnimku nie je pripojené stanovisko prijaté nezávislým vnútroštátnym orgánom:</w:t>
      </w:r>
    </w:p>
    <w:p>
      <w:r>
        <w:t>(1) 90 dní;</w:t>
      </w:r>
    </w:p>
    <w:p>
      <w:r>
        <w:t>120 dní, ak Komisia výnimočne informuje sektorového obstarávateľa a dotknutý členský štát, že stupeň zložitosti žiadosti o výnimku si vyžaduje viac času na analýzu situácie v oblasti hospodárskej súťaže na relevantnom trhu alebo činnosti;</w:t>
      </w:r>
    </w:p>
    <w:p>
      <w:r>
        <w:t>ii) ak je k žiadosti o výnimku priložené stanovisko prijaté nezávislým vnútroštátnym orgánom:</w:t>
      </w:r>
    </w:p>
    <w:p>
      <w:r>
        <w:t>(1) 60 dní;</w:t>
      </w:r>
    </w:p>
    <w:p>
      <w:r>
        <w:t>2. výnimočne 80 dní, ak Komisia informuje sektorového obstarávateľa a dotknutý členský štát, že stupeň zložitosti žiadosti o výnimku si vyžaduje viac času na analýzu situácie v oblasti hospodárskej súťaže na relevantnom trhu alebo činnosti.</w:t>
      </w:r>
    </w:p>
    <w:p>
      <w:r>
        <w:t>Tieto lehoty začínajú plynúť prvým pracovným dňom nasledujúcim po dni, keď bola Komisii doručená žiadosť o výnimku, alebo v prípade, že informácie, ktoré sa majú poskytnúť spolu so žiadosťou o výnimku, nie sú úplné, pracovným dňom nasledujúcim po doručení úplných informácií.</w:t>
      </w:r>
    </w:p>
    <w:p>
      <w:r>
        <w:t>Lehoty stanovené v písmene b) môže Komisia predĺžiť so súhlasom dotknutého členského štátu alebo sektorového obstarávateľa.</w:t>
      </w:r>
    </w:p>
    <w:p>
      <w:r>
        <w:t>Komisia si môže od dotknutého členského štátu alebo sektorového obstarávateľa alebo nezávislého vnútroštátneho orgánu alebo akéhokoľvek iného príslušného vnútroštátneho orgánu vyžiadať informácie, ktoré považuje za potrebné na vykonanie svojho posúdenia, vrátane súvisiacich dodatočných informácií alebo objasnení už poskytnutých informácií. Plynutie lehôt stanovených v písmene b) sa pozastavuje až do doručenia úplných a správnych informácií.</w:t>
      </w:r>
    </w:p>
    <w:p>
      <w:r>
        <w:t>5. Po predložení žiadosti o výnimku môže dotknutý členský štát alebo sektorový obstarávateľ so súhlasom Komisie podstatne zmeniť svoju žiadosť o výnimku, najmä pokiaľ ide o dotknuté činnosti alebo geografické oblasti. V takom prípade sa uplatňuje nová lehota na prijatie vykonávacieho aktu, ktorá sa vypočíta v súlade s odsekom 4 písm. b), pokiaľ sa Komisia a dotknutý členský štát alebo sektorový obstarávateľ nedohodnú na kratšej lehote.</w:t>
      </w:r>
    </w:p>
    <w:p>
      <w:r>
        <w:t>6. Ak Komisia v súvislosti so žiadosťou o výnimku predloží dotknutému členskému štátu alebo sektorovému obstarávateľovi žiadosť o informácie, ktorá zostáva bez odpovede 180 dní, žiadosť o výnimku sa považuje za vzatú späť.</w:t>
      </w:r>
    </w:p>
    <w:p>
      <w:r>
        <w:t>7. Ak je činnosť v danom členskom štáte už predmetom postupu podľa odsekov 1 a 5, ďalšie žiadosti o výnimku týkajúce sa tej istej činnosti v tom istom členskom štáte pred uplynutím lehoty stanovenej v súvislosti s prvou žiadosťou o výnimku sa nepovažujú za nové postupy, ale riešia sa v kontexte a v období prvej žiadosti o výnimku.</w:t>
      </w:r>
    </w:p>
    <w:p>
      <w:r>
        <w:t>8. Komisia môže z úradnej moci vykonať novú analýzu podmienok udelenia výnimky, a to aj na základe informácií od tretej strany alebo v prípade formálnej žiadosti členského štátu.</w:t>
      </w:r>
    </w:p>
    <w:p>
      <w:r>
        <w:t>9. Komisia sprístupní informácie o uplatniteľnosti článku 19 ods. 1 na činnosti, ktoré patria do pôsobnosti tejto dohody, pre daný trh a danú činnosť vrátane skutočnosti, že bola predložená žiadosť o výnimku, príslušných lehôt na jej posúdenie a všetkých jej predĺžení alebo pozastavení. Komisia uverejní aj informácie o predbežných otázkach a nových analýzach vykonaných podľa odseku 8.</w:t>
      </w:r>
    </w:p>
    <w:p>
      <w:r>
        <w:t>10. Komisia je splnomocnená prijímať vykonávacie akty, ktorými sa stanovujú podrobné pravidlá uplatňovania odsekov 1 až 9 vrátane aspoň pravidiel týkajúcich sa:</w:t>
      </w:r>
    </w:p>
    <w:p>
      <w:r>
        <w:t>a) vykonávacie ustanovenia týkajúce sa formy, obsahu a iných podrobností predbežných otázok a žiadostí o výnimku podľa odsekov 1 a 3;</w:t>
      </w:r>
    </w:p>
    <w:p>
      <w:r>
        <w:t>b) uverejnenie podľa odseku 9.</w:t>
      </w:r>
    </w:p>
    <w:p>
      <w:r>
        <w:t>Uvedený vykonávací akt sa prijme v súlade s konzultačným postupom uvedeným v článku 143 ods. 2.</w:t>
      </w:r>
    </w:p>
    <w:p>
      <w:pPr>
        <w:pStyle w:val="Heading2"/>
        <w:jc w:val="center"/>
      </w:pPr>
      <w:r>
        <w:t>Hlava II</w:t>
      </w:r>
    </w:p>
    <w:p>
      <w:pPr>
        <w:pStyle w:val="Heading2"/>
        <w:jc w:val="center"/>
      </w:pPr>
      <w:r>
        <w:t>Hospodárske subjekty</w:t>
      </w:r>
    </w:p>
    <w:p>
      <w:pPr>
        <w:pStyle w:val="Heading2"/>
        <w:jc w:val="center"/>
      </w:pPr>
      <w:r>
        <w:t>Kapitola 1</w:t>
      </w:r>
    </w:p>
    <w:p>
      <w:pPr>
        <w:pStyle w:val="Heading2"/>
        <w:jc w:val="center"/>
      </w:pPr>
      <w:r>
        <w:t>Všeobecné ustanovenia</w:t>
      </w:r>
    </w:p>
    <w:p>
      <w:pPr>
        <w:pStyle w:val="Heading3"/>
        <w:jc w:val="center"/>
      </w:pPr>
      <w:r>
        <w:t>Článok 21</w:t>
      </w:r>
    </w:p>
    <w:p>
      <w:pPr>
        <w:pStyle w:val="Heading4"/>
        <w:jc w:val="center"/>
      </w:pPr>
      <w:r>
        <w:t>Hospodárskych subjektov</w:t>
      </w:r>
    </w:p>
    <w:p>
      <w:r>
        <w:t>1. Obstarávatelia nevyžadujú, aby hospodárske subjekty mali osobitnú právnu formu, aby sa mohli zúčastniť na postupe obstarávania.</w:t>
      </w:r>
    </w:p>
    <w:p>
      <w:r>
        <w:t>2. Hospodárske subjekty, ktoré sú podľa práva členského štátu, v ktorom sú usadené, oprávnené poskytovať príslušný tovar, práce alebo služby, nesmú byť zamietnuté len z toho dôvodu, že podľa práva členského štátu, v ktorom sa má zákazka zadať, by sa od hospodárskeho subjektu vyžadovalo, aby bol fyzickou alebo právnickou osobou.</w:t>
      </w:r>
    </w:p>
    <w:p>
      <w:r>
        <w:t>3. Obstarávatelia môžu v prípade služieb, prác alebo montáže a inštalácie požadovať od právnických osôb, aby pred začatím vykonávania príslušných úloh uviedli mená a príslušnú kvalifikáciu pracovníkov zodpovedných za plnenie príslušnej zákazky.</w:t>
      </w:r>
    </w:p>
    <w:p>
      <w:pPr>
        <w:pStyle w:val="Heading3"/>
        <w:jc w:val="center"/>
      </w:pPr>
      <w:r>
        <w:t>Článok 22</w:t>
      </w:r>
    </w:p>
    <w:p>
      <w:pPr>
        <w:pStyle w:val="Heading4"/>
        <w:jc w:val="center"/>
      </w:pPr>
      <w:r>
        <w:t>O skupine hospodárskych subjektov</w:t>
      </w:r>
    </w:p>
    <w:p>
      <w:r>
        <w:t>1. Obstarávatelia nesmú stanoviť kritériá výberu podľa článku 27 pre skupiny hospodárskych subjektov, ktoré sa líšia od kritérií pre iné hospodárske subjekty, pokiaľ nie je v tomto článku stanovené inak.</w:t>
      </w:r>
    </w:p>
    <w:p>
      <w:r>
        <w:t>Skupina hospodárskych subjektov sa považuje za spĺňajúcu podmienku účasti, ak:</w:t>
      </w:r>
    </w:p>
    <w:p>
      <w:r>
        <w:t>a) jeden hospodársky subjekt v skupine má potrebnú technickú a odbornú spôsobilosť alebo ekonomickú a finančnú situáciu; alebo</w:t>
      </w:r>
    </w:p>
    <w:p>
      <w:r>
        <w:t>b) ak takúto schopnosť alebo postavenie možno preukázať kombináciou príslušných technických a odborných schopností alebo ekonomického a finančného postavenia dvoch alebo viacerých členov skupiny s výnimkou prípadu, keď by sa takouto kombináciou nedosiahla rovnaká úroveň schopnosti alebo postavenia.</w:t>
      </w:r>
    </w:p>
    <w:p>
      <w:r>
        <w:t>2. Ak je to odôvodnené povahou zákazky a v súlade so zásadou proporcionality, obstarávatelia môžu:</w:t>
      </w:r>
    </w:p>
    <w:p>
      <w:r>
        <w:t>a) odchýliť sa od odseku 1 druhého pododseku písm. a) alebo b), pokiaľ ide o výberové kritériá relevantné pre určité kritické úlohy;</w:t>
      </w:r>
    </w:p>
    <w:p>
      <w:r>
        <w:t>b) požadovať, aby určité kritické úlohy vykonával priamo člen skupiny, ktorý spĺňa výberové kritérium relevantné pre danú úlohu.</w:t>
      </w:r>
    </w:p>
    <w:p>
      <w:r>
        <w:t>Obstarávatelia identifikujú kritické úlohy a súvisiace požiadavky, pričom ich jasne uvedú a odôvodnia v podrobnostiach obstarávania.</w:t>
      </w:r>
    </w:p>
    <w:p>
      <w:r>
        <w:t>3. Podmienky plnenia zákazky skupinami hospodárskych subjektov sa môžu líšiť od podmienok stanovených pre iné hospodárske subjekty len vtedy, ak sú opodstatnené objektívnymi dôvodmi, ktoré sú primerané a jasne uvedené v podrobnostiach obstarávania.</w:t>
      </w:r>
    </w:p>
    <w:p>
      <w:r>
        <w:t>4. Bez toho, aby bola dotknutá právomoc členských štátov organizovať svoje systémy sociálneho zabezpečenia, obstarávatelia nesmú od skupiny hospodárskych subjektov vyžadovať, aby nadobudli určitú právnu formu, a to ani po tom, ako im bola zadaná zákazka.</w:t>
      </w:r>
    </w:p>
    <w:p>
      <w:r>
        <w:t>5. Obstarávatelia venujú osobitnú pozornosť tomu, aby nevytvárali neodôvodnené alebo neprimerané prekážky súvisiace s veľkosťou hospodárskych subjektov, ktoré sú súčasťou skupiny, najmä pre MSP.</w:t>
      </w:r>
    </w:p>
    <w:p>
      <w:pPr>
        <w:pStyle w:val="Heading3"/>
        <w:jc w:val="center"/>
      </w:pPr>
      <w:r>
        <w:t>Článok 23</w:t>
      </w:r>
    </w:p>
    <w:p>
      <w:pPr>
        <w:pStyle w:val="Heading4"/>
        <w:jc w:val="center"/>
      </w:pPr>
      <w:r>
        <w:t>Spoliehanie sa na kapacitu iných subjektov</w:t>
      </w:r>
    </w:p>
    <w:p>
      <w:r>
        <w:t>1. Pokiaľ ide o podmienky účasti stanovené obstarávateľom podľa článku 27, hospodárske subjekty sa môžu spoliehať na kapacity iných subjektov bez ohľadu na právnu povahu väzieb, ktoré s nimi má, alebo ich právnu formu.</w:t>
      </w:r>
    </w:p>
    <w:p>
      <w:r>
        <w:t>2. Obstarávateľ overí, či subjekty, ktorých kapacity má hospodársky subjekt v úmysle využiť v súvislosti s jedným alebo viacerými podmienkami účasti, spĺňajú príslušné podmienky účasti a či existujú dôvody na ich vylúčenie. Obstarávateľ vyžaduje, aby hospodársky subjekt nahradil subjekt, ktorý nespĺňa príslušné podmienky účasti alebo v súvislosti s ktorým existujú povinné dôvody na vylúčenie. Obstarávateľ môže požadovať, aby hospodársky subjekt nahradil subjekt, v súvislosti s ktorým existujú nepovinné dôvody na vylúčenie.</w:t>
      </w:r>
    </w:p>
    <w:p>
      <w:r>
        <w:t>3. Obstarávatelia môžu v podrobnostiach obstarávania požadovať, aby hospodársky subjekt preukázal, že bude mať k dispozícii príslušné zdroje subjektu, na ktorý sa plánuje spoliehať, počas celého obdobia plnenia zákazky, napríklad vyhlásením týchto subjektov v tomto zmysle.</w:t>
      </w:r>
    </w:p>
    <w:p>
      <w:r>
        <w:t>4. Ak sa hospodársky subjekt spolieha na kapacity iných subjektov, pokiaľ ide o kritériá týkajúce sa ekonomickej a finančnej situácie, obstarávateľ môže požadovať, aby hospodársky subjekt a tieto subjekty spoločne zodpovedali obstarávateľovi za plnenie zákazky.</w:t>
      </w:r>
    </w:p>
    <w:p>
      <w:r>
        <w:t>5. Ak sa hospodársky subjekt spolieha na kapacity iných subjektov na preukázanie technickej a odbornej spôsobilosti, obstarávateľ môže v podrobnostiach obstarávania požadovať, aby takýto iný subjekt vykonal práce alebo služby, na ktoré sa tieto kapacity vyžadujú.</w:t>
      </w:r>
    </w:p>
    <w:p>
      <w:pPr>
        <w:pStyle w:val="Heading3"/>
        <w:jc w:val="center"/>
      </w:pPr>
      <w:r>
        <w:t>Článok 24</w:t>
      </w:r>
    </w:p>
    <w:p>
      <w:pPr>
        <w:pStyle w:val="Heading4"/>
        <w:jc w:val="center"/>
      </w:pPr>
      <w:r>
        <w:t>Využitie subdodávateľov</w:t>
      </w:r>
    </w:p>
    <w:p>
      <w:r>
        <w:t>1. Časti verejnej zákazky môžu byť zadané subdodávateľom. Zákazka zadaná hospodárskemu subjektu sa nesmie zadať subdodávateľom v celom rozsahu ani sa nesmie zadať ďalším subdodávateľom v celom rozsahu.</w:t>
      </w:r>
    </w:p>
    <w:p>
      <w:r>
        <w:t>2. Obstarávatelia od hospodárskych subjektov vyžadujú, aby vo svojej ponuke uviedli, akú časť zákazky plánujú zadať tretím stranám, ako aj navrhovaných subdodávateľov.</w:t>
      </w:r>
    </w:p>
    <w:p>
      <w:r>
        <w:t>Môžu od hlavného dodávateľa požadovať, aby ich po zadaní zákazky a pred začatím plnenia zákazky informoval o úlohách a činnostiach, ktoré má v úmysle zadať subdodávateľom. Môžu tiež požadovať informácie o totožnosti akýchkoľvek subdodávateľov.</w:t>
      </w:r>
    </w:p>
    <w:p>
      <w:r>
        <w:t>Obstarávatelia požiadajú hlavného dodávateľa, aby poskytol informácie uvedené v druhom pododseku v týchto prípadoch:</w:t>
      </w:r>
    </w:p>
    <w:p>
      <w:r>
        <w:t>a) verejné zákazky na uskutočnenie stavebných prác;</w:t>
      </w:r>
    </w:p>
    <w:p>
      <w:r>
        <w:t>b) služby, ktoré sa majú poskytovať v zariadení pod priamym dohľadom obstarávateľa;</w:t>
      </w:r>
    </w:p>
    <w:p>
      <w:r>
        <w:t>c) zákazky, pri ktorých sa zistilo, že predstavujú alebo zahŕňajú riziko pre bezpečnosť alebo verejnú bezpečnosť stanovené v článku 66;</w:t>
      </w:r>
    </w:p>
    <w:p>
      <w:r>
        <w:t>d) zmluvy, v ktorých sa využívajú požiadavky európskej preferencie uvedené v článku 73.</w:t>
      </w:r>
    </w:p>
    <w:p>
      <w:r>
        <w:t>Obstarávateľ požiada hlavného dodávateľa, aby mu čo najskôr oznámil akékoľvek zmeny informácií poskytnutých podľa tretieho pododseku počas trvania zmluvy.</w:t>
      </w:r>
    </w:p>
    <w:p>
      <w:r>
        <w:t>3. Obstarávateľ požiada hospodársky subjekt, aby nahradil subdodávateľa, v súvislosti s ktorým existujú dôvody na povinné vylúčenie podľa článku 25. Obstarávateľ môže od hospodárskeho subjektu požadovať, aby nahradil subdodávateľa, v súvislosti s ktorým existujú nepovinné dôvody na vylúčenie podľa článku 26.</w:t>
      </w:r>
    </w:p>
    <w:p>
      <w:r>
        <w:t>4. Ak obstarávateľ využil ktorúkoľvek z európskych preferenčných požiadaviek uvedených v článku 73 alebo zahrnul bezpečnostné opatrenia v súlade s článkom 66, hospodársky subjekt môže zaviesť alebo nahradiť subdodávateľa len za predpokladu, že subdodávateľ spĺňa európske preferenčné požiadavky alebo bezpečnostné opatrenia stanovené obstarávateľom.</w:t>
      </w:r>
    </w:p>
    <w:p>
      <w:r>
        <w:t>5. Ak je to odôvodnené povahou zákazky a v súlade so zásadou proporcionality, obstarávatelia môžu požadovať, aby určité kritické úlohy vykonal priamo hlavný dodávateľ. Obstarávatelia identifikujú kritické úlohy a súvisiace požiadavky, pričom ich jasne uvedú a odôvodnia v podrobnostiach obstarávania.</w:t>
      </w:r>
    </w:p>
    <w:p>
      <w:r>
        <w:t>6. Zadávaním zákaziek subdodávateľom podľa ustanovení tohto článku nie je dotknutá zodpovednosť hlavného dodávateľa.</w:t>
      </w:r>
    </w:p>
    <w:p>
      <w:r>
        <w:t>7. Dodržiavanie povinností uvedených v článku 4 ods. 4 subdodávateľmi sa zabezpečuje prostredníctvom vhodných opatrení príslušných vnútroštátnych orgánov konajúcich v rámci svojej zodpovednosti a pôsobnosti. Členské štáty môžu prijať alebo zachovať dodatočné primerané opatrenia obmedzujúce zadávanie zákaziek subdodávateľom, ak zistili náležite odôvodnené vyššie riziko nedodržiavania povinností v oblasti sociálneho a pracovného práva.</w:t>
      </w:r>
    </w:p>
    <w:p>
      <w:pPr>
        <w:pStyle w:val="Heading2"/>
        <w:jc w:val="center"/>
      </w:pPr>
      <w:r>
        <w:t>Kapitola 2</w:t>
      </w:r>
    </w:p>
    <w:p>
      <w:pPr>
        <w:pStyle w:val="Heading2"/>
        <w:jc w:val="center"/>
      </w:pPr>
      <w:r>
        <w:t>Dôvody na vylúčenie a podmienky účasti</w:t>
      </w:r>
    </w:p>
    <w:p>
      <w:pPr>
        <w:pStyle w:val="Heading3"/>
        <w:jc w:val="center"/>
      </w:pPr>
      <w:r>
        <w:t>Článok 25</w:t>
      </w:r>
    </w:p>
    <w:p>
      <w:pPr>
        <w:pStyle w:val="Heading4"/>
        <w:jc w:val="center"/>
      </w:pPr>
      <w:r>
        <w:t>Povinné vylúčenia</w:t>
      </w:r>
    </w:p>
    <w:p>
      <w:r>
        <w:t>1. Obstarávatelia kedykoľvek počas postupu vylúčia hospodársky subjekt vrátane jednotlivých členov skupiny hospodárskych subjektov z účasti na postupe obstarávania, ak bol tento hospodársky subjekt alebo kľúčová osoba vo fungovaní právnickej osoby vymedzenej v druhom pododseku v ktoromkoľvek členskom štáte právoplatným rozsudkom odsúdený za niektorý z trestných činov uvedených v tomto pododseku alebo, pokiaľ ide o členské štáty, ktoré nie sú viazané príslušným právnym aktom Únie, za trestné činy stanovené v rovnocenných vnútroštátnych právnych predpisoch:</w:t>
      </w:r>
    </w:p>
    <w:p>
      <w:r>
        <w:t>a) účasť v zločineckej organizácii v zmysle článku 1 bodu 1 rámcového rozhodnutia Rady 2008/841/SVV[30];</w:t>
      </w:r>
    </w:p>
    <w:p>
      <w:r>
        <w:t>b) trestné činy korupcie v zmysle smernice (EÚ) 2026/1021[31];</w:t>
      </w:r>
    </w:p>
    <w:p>
      <w:r>
        <w:t>c) podvod poškodzujúci finančné záujmy Únie v zmysle článku 1 Dohovoru o ochrane finančných záujmov Európskych spoločenstiev a trestné činy uvedené v článkoch 3, 4 a 5 smernice</w:t>
      </w:r>
    </w:p>
    <w:p>
      <w:r>
        <w:t>(EÚ) 2017/1371[32];</w:t>
      </w:r>
    </w:p>
    <w:p>
      <w:r>
        <w:t>d) teroristické trestné činy a trestné činy súvisiace s teroristickou skupinou, ako aj trestné činy súvisiace s teroristickými činnosťami, ako sa uvádza v článkoch 3 až 12 smernice (EÚ) 2017/541[33];</w:t>
      </w:r>
    </w:p>
    <w:p>
      <w:r>
        <w:t>e) pranie špinavých peňazí v zmysle článku 3 smernice (EÚ) 2018/1673[34];</w:t>
      </w:r>
    </w:p>
    <w:p>
      <w:r>
        <w:t>f) obchodovanie s ľuďmi v zmysle článku 2 smernice (EÚ) 2011/36[35];</w:t>
      </w:r>
    </w:p>
    <w:p>
      <w:r>
        <w:t>g) trestné činy týkajúce sa zamestnávania štátnych príslušníkov tretích krajín, ktorí sa neoprávnene zdržiavajú na území členských štátov, ako sa uvádza v článkoch 2, 3 a 9 smernice 2009/52/ES[36];</w:t>
      </w:r>
    </w:p>
    <w:p>
      <w:r>
        <w:t>h) trestné činy proti životnému prostrediu uvedené v článkoch 3 a 4 smernice</w:t>
      </w:r>
    </w:p>
    <w:p>
      <w:r>
        <w:t>(EÚ) 2024/1203[37];</w:t>
      </w:r>
    </w:p>
    <w:p>
      <w:r>
        <w:t>i) trestné činy týkajúce sa porušenia reštriktívnych opatrení Únie uvedených v článkoch 3 a 4 smernice (EÚ) 2024/1226[38];</w:t>
      </w:r>
    </w:p>
    <w:p>
      <w:r>
        <w:t>j) podvodné používanie bezhotovostných platobných nástrojov, ako sa uvádza v článkoch 3 až 8 smernice (EÚ) 2019/713[39];</w:t>
      </w:r>
    </w:p>
    <w:p>
      <w:r>
        <w:t>k) trestné činy v oblasti sexuálneho zneužívania a sexuálneho vykorisťovania detí uvedené v článkoch 3 až 9 smernice (EÚ) 2011/93[40].</w:t>
      </w:r>
    </w:p>
    <w:p>
      <w:r>
        <w:t>Kľúčová osoba vo fungovaní právnickej osoby je osoba, ktorá má v rámci právnickej osoby vedúce postavenie na základe ktorejkoľvek z týchto skutočností:</w:t>
      </w:r>
    </w:p>
    <w:p>
      <w:r>
        <w:t>a) právomoc zastupovať právnickú osobu;</w:t>
      </w:r>
    </w:p>
    <w:p>
      <w:r>
        <w:t>b) právomoc prijímať rozhodnutia v mene právnickej osoby;</w:t>
      </w:r>
    </w:p>
    <w:p>
      <w:r>
        <w:t>c) právomoc vykonávať kontrolu v rámci právnickej osoby.</w:t>
      </w:r>
    </w:p>
    <w:p>
      <w:r>
        <w:t>2. Dôvody na vylúčenie stanovené v tomto článku sa uplatňujú päť rokov odo dňa vynesenia konečného rozsudku s výnimkou prípadov, keď bolo obdobie vylúčenia stanovené v konečnom rozsudku, čo znamená, že po uplynutí období uvedených v tejto vete sa neprijme žiadne rozhodnutie o vylúčení.</w:t>
      </w:r>
    </w:p>
    <w:p>
      <w:r>
        <w:t>3. Obstarávatelia kedykoľvek počas postupu vylúčia hospodársky subjekt z účasti na postupe obstarávania, ak zistia, že hospodársky subjekt alebo dodávateľ porušuje svoje povinnosti týkajúce sa platby daní alebo príspevkov na sociálne zabezpečenie, a to na základe právoplatného súdneho alebo správneho rozhodnutia, s výnimkou prípadu, keď do tohto okamihu hospodársky subjekt uzavrel záväznú dohodu o platbe splatných daní alebo príspevkov na sociálne zabezpečenie vrátane prípadných vzniknutých úrokov alebo pokút.</w:t>
      </w:r>
    </w:p>
    <w:p>
      <w:r>
        <w:t>Obstarávatelia sa môžu odchýliť od povinného vylúčenia stanoveného v odseku 1, ak by vylúčenie bolo zjavne neprimerané, najmä ak neboli zaplatené len malé sumy.</w:t>
      </w:r>
    </w:p>
    <w:p>
      <w:r>
        <w:t>4. Obstarávatelia sa môžu výnimočne rozhodnúť odchýliť sa od povinného vylúčenia stanoveného v tomto článku zo závažných dôvodov týkajúcich sa verejného záujmu, ako je verejné zdravie alebo ochrana životného prostredia. Každé rozhodnutie o výnimke a jeho odôvodnenie sa zdokumentujú v individuálnej dokumentácii podľa článku 109.</w:t>
      </w:r>
    </w:p>
    <w:p>
      <w:r>
        <w:rPr>
          <w:sz w:val="16"/>
        </w:rPr>
        <w:t>30 Rámcové rozhodnutie Rady 2008/841/SVV z 24. októbra 2008 o boji proti organizovanému zločinu (Ú. v. EÚ L 300, 11.11.2008, s. 42, ELI: http://data.europa.eu/eli/dec_framw/2008/841/oj).</w:t>
      </w:r>
    </w:p>
    <w:p>
      <w:r>
        <w:rPr>
          <w:sz w:val="16"/>
        </w:rPr>
        <w:t>31 Smernica Európskeho parlamentu a Rady (EÚ) 2026/1021 z 29. apríla 2026 o boji proti korupcii, ktorou sa nahrádza rámcové rozhodnutie Rady 2003/568/SVV a Dohovor o boji proti korupcii úradníkov Európskych spoločenstiev alebo úradníkov členských štátov Európskej únie a ktorou sa mení smernica Európskeho parlamentu a Rady (EÚ) 2017/1371 (Ú. v. EÚ L, 2026/1021, 11.5.2026, ELI: http://data.europa.eu/eli/dir/2026/1021/oj).</w:t>
      </w:r>
    </w:p>
    <w:p>
      <w:r>
        <w:rPr>
          <w:sz w:val="16"/>
        </w:rPr>
        <w:t>32 Smernica Európskeho parlamentu a Rady (EÚ) 2017/1371 z 5. júla 2017 o boji proti podvodom, ktoré poškodzujú finančné záujmy Únie, prostredníctvom trestného práva (Ú. v. EÚ L 198, 28.7.2017, s. 29, ELI: http://data.europa.eu/eli/dir/2017/1371/oj).</w:t>
      </w:r>
    </w:p>
    <w:p>
      <w:r>
        <w:rPr>
          <w:sz w:val="16"/>
        </w:rPr>
        <w:t>33 Smernica Európskeho parlamentu a Rady (EÚ) 2017/541 z 15. marca 2017 o boji proti terorizmu, ktorou sa nahrádza rámcové rozhodnutie Rady 2002/475/SVV a mení rozhodnutie Rady 2005/671/SVV (Ú. v. EÚ L 88, 31.3.2017, s. 6, ELI: http://data.europa.eu/eli/dir/2017/541/oj).</w:t>
      </w:r>
    </w:p>
    <w:p>
      <w:r>
        <w:rPr>
          <w:sz w:val="16"/>
        </w:rPr>
        <w:t>34 Smernica Európskeho parlamentu a Rady (EÚ) 2018/1673 z 23. októbra 2018 o boji proti praniu špinavých peňazí prostredníctvom trestného práva (Ú. v. EÚ L 284, 12.11.2018, s. 22, ELI: http://data.europa.eu/eli/dir/2018/1673/oj).</w:t>
      </w:r>
    </w:p>
    <w:p>
      <w:r>
        <w:rPr>
          <w:sz w:val="16"/>
        </w:rPr>
        <w:t>35 Smernica Európskeho parlamentu a Rady 2011/36/EÚ z 5. apríla 2011 o prevencii obchodovania s ľuďmi a boji proti nemu a o ochrane obetí obchodovania, ktorou sa nahrádza rámcové rozhodnutie Rady 2002/629/SVV (Ú. v. EÚ L 101, 15.4.2011, s. 1, ELI: http://data.europa.eu/eli/dir/2011/36/oj).</w:t>
      </w:r>
    </w:p>
    <w:p>
      <w:r>
        <w:rPr>
          <w:sz w:val="16"/>
        </w:rPr>
        <w:t>36 Smernica Európskeho parlamentu a Rady (EÚ) 2024/1203 z 11. apríla 2024 o ochrane životného prostredia prostredníctvom trestného práva, ktorou sa nahrádzajú smernice 2008/99/ES a 2009/123/ES (Ú. v. EÚ L, 2024/1203, 30.4.2024, ELI: http://data.europa.eu/eli/dir/2024/1203/oj).</w:t>
      </w:r>
    </w:p>
    <w:p>
      <w:r>
        <w:rPr>
          <w:sz w:val="16"/>
        </w:rPr>
        <w:t>37 Smernica Európskeho parlamentu a Rady (EÚ) 2024/1203 z 11. apríla 2024 o ochrane životného prostredia prostredníctvom trestného práva, ktorou sa nahrádzajú smernice 2008/99/ES a 2009/123/ES (Ú. v. EÚ L, 2024/1203, 30.4.2024, ELI: http://data.europa.eu/eli/dir/2024/1203/oj).</w:t>
      </w:r>
    </w:p>
    <w:p>
      <w:r>
        <w:rPr>
          <w:sz w:val="16"/>
        </w:rPr>
        <w:t>38 Smernica Európskeho parlamentu a Rady (EÚ) 2024/1226 z 24. apríla 2024 o vymedzení trestných činov a sankcií za porušenie reštriktívnych opatrení Únie a zmene smernice (EÚ) 2018/1673 (Ú. v. EÚ L, 2024/1226, 29.4.2024, ELI: http://data.europa.eu/eli/dir/2024/1226/oj).</w:t>
      </w:r>
    </w:p>
    <w:p>
      <w:r>
        <w:rPr>
          <w:sz w:val="16"/>
        </w:rPr>
        <w:t>39 Smernica Európskeho parlamentu a Rady (EÚ) 2019/713 zo 17. apríla 2019 o boji proti podvodom s bezhotovostnými platobnými prostriedkami a proti ich falšovaniu a pozmeňovaniu, ktorou sa nahrádza rámcové rozhodnutie Rady 2001/413/SVV (Ú. v. EÚ L 123, 10.5.2019, s. 18, ELI: http://data.europa.eu/eli/dir/2019/713/oj).</w:t>
      </w:r>
    </w:p>
    <w:p>
      <w:r>
        <w:rPr>
          <w:sz w:val="16"/>
        </w:rPr>
        <w:t>40 Smernica Európskeho parlamentu a Rady 2011/93/EÚ z 13. decembra 2011 o boji proti sexuálnemu zneužívaniu a sexuálnemu vykorisťovaniu detí a proti detskej pornografii, ktorou sa nahrádza rámcové rozhodnutie Rady 2004/68/SVV (Ú. v. EÚ L 335, 17.12.2011, s. 1, ELI: http://data.europa.eu/eli/dir/2011/93/oj.</w:t>
      </w:r>
    </w:p>
    <w:p>
      <w:pPr>
        <w:pStyle w:val="Heading3"/>
        <w:jc w:val="center"/>
      </w:pPr>
      <w:r>
        <w:t>Článok 26</w:t>
      </w:r>
    </w:p>
    <w:p>
      <w:pPr>
        <w:pStyle w:val="Heading4"/>
        <w:jc w:val="center"/>
      </w:pPr>
      <w:r>
        <w:t>Nepovinné dôvody na vylúčenie</w:t>
      </w:r>
    </w:p>
    <w:p>
      <w:r>
        <w:t>1. Obstarávatelia môžu kedykoľvek počas postupu vylúčiť hospodársky subjekt vrátane jednotlivých členov skupín hospodárskych subjektov z účasti na postupe obstarávania, ak:</w:t>
      </w:r>
    </w:p>
    <w:p>
      <w:r>
        <w:t>a) obstarávateľ môže akýmikoľvek vhodnými prostriedkami preukázať, že hospodársky subjekt porušil uplatniteľné povinnosti podľa príslušných právnych predpisov Únie, ako sa uvádza v článku 4 ods. 4;</w:t>
      </w:r>
    </w:p>
    <w:p>
      <w:r>
        <w:t>b) hospodársky subjekt je v konkurze, v insolvenčnom konaní, v likvidácii alebo v porovnateľnej situácii;</w:t>
      </w:r>
    </w:p>
    <w:p>
      <w:r>
        <w:t>c) obstarávateľ môže vhodnými prostriedkami preukázať závažné odborné pochybenie hospodárskeho subjektu, ktoré spochybňuje jeho bezúhonnosť alebo spoľahlivosť;</w:t>
      </w:r>
    </w:p>
    <w:p>
      <w:r>
        <w:t>d) obstarávateľ má dostatočne vierohodné indície na to, aby dospel k záveru, že hospodársky subjekt uzavrel dohody s inými hospodárskymi subjektmi s cieľom narušiť hospodársku súťaž;</w:t>
      </w:r>
    </w:p>
    <w:p>
      <w:r>
        <w:t>e) hospodársky subjekt vykazoval významné alebo pretrvávajúce nedostatky pri plnení niektorej zásadnej požiadavky predchádzajúcej verejnej zákazky, čo viedlo k predčasnému ukončeniu tejto predchádzajúcej zákazky, škode alebo iným porovnateľným sankciám zo strany obstarávateľa;</w:t>
      </w:r>
    </w:p>
    <w:p>
      <w:r>
        <w:t>f) hospodársky subjekt bol v súvislosti s príslušným postupom uznaný za zodpovedný za závažné skreslenie informácií požadovaných na overenie neexistencie dôvodov na vylúčenie alebo splnenia podmienok účasti; alebo sa inak zaviazal neoprávnene získať výhody v postupe verejného obstarávania;</w:t>
      </w:r>
    </w:p>
    <w:p>
      <w:r>
        <w:t>g) obstarávateľ môže akýmikoľvek vhodnými prostriedkami, okrem iného vrátane utajovaných skutočností alebo posúdení, ktoré nie sú verejne prístupné a ktoré poskytli príslušné vnútroštátne orgány, preukázať, že hospodársky subjekt nie je dostatočne spoľahlivý na to, aby vylúčil riziká pre záujmy Únie alebo jedného či viacerých členských štátov v oblasti bezpečnosti a verejnej bezpečnosti;</w:t>
      </w:r>
    </w:p>
    <w:p>
      <w:r>
        <w:t>h) hospodársky subjekt počas troch rokov predchádzajúcich postupu verejného obstarávania využíval zahraničné subvencie narúšajúce vnútorný trh stanovené vykonávacím aktom prijatým Komisiou podľa článku 31 ods. 2 nariadenia (EÚ) 2022/2560[41] a obstarávateľ má dostatočne vierohodné indície na to, aby dospel k záveru, že dotknuté zahraničné subvencie budú mať pravdepodobne vplyv na ponuku hospodárskeho subjektu.</w:t>
      </w:r>
    </w:p>
    <w:p>
      <w:r>
        <w:t>2. Každý hospodársky subjekt, na ktorý sa vzťahuje vylúčenie podľa odseku 1, môže poskytnúť dôkazy na vyvrátenie existencie dôvodu na vylúčenie alebo na preukázanie toho, že prijal dostatočné opatrenia na preukázanie svojej spoľahlivosti napriek existencii dôvodu na vylúčenie.</w:t>
      </w:r>
    </w:p>
    <w:p>
      <w:r>
        <w:t>Na tento účel hospodársky subjekt preukáže najmä to, že:</w:t>
      </w:r>
    </w:p>
    <w:p>
      <w:r>
        <w:t>a) zaplatili alebo sa zaviazali zaplatiť náhradu v súvislosti s akoukoľvek škodou spôsobenou pochybením;</w:t>
      </w:r>
    </w:p>
    <w:p>
      <w:r>
        <w:t>b) komplexne objasnil skutočnosti a okolnosti aktívnou spoluprácou s prešetrujúcimi orgánmi; podielu a</w:t>
      </w:r>
    </w:p>
    <w:p>
      <w:r>
        <w:t>c) prijali konkrétne technické, organizačné a personálne opatrenia, ktoré sú vhodné na zabránenie ďalšiemu pochybeniu.</w:t>
      </w:r>
    </w:p>
    <w:p>
      <w:r>
        <w:t>Ak obstarávateľ považuje poskytnuté dôkazy za dostatočné, dotknutý hospodársky subjekt sa z postupu obstarávania nevylúči.</w:t>
      </w:r>
    </w:p>
    <w:p>
      <w:r>
        <w:t>Opatrenia prijaté hospodárskymi subjektmi sa vyhodnotia s prihliadnutím na závažnosť a konkrétne okolnosti pochybenia. Pri posudzovaní opatrení prijatých hospodárskym subjektom obstarávatelia zohľadňujú povahu, rozsah a načasovanie spolupráce s príslušnými prešetrujúcimi orgánmi.</w:t>
      </w:r>
    </w:p>
    <w:p>
      <w:r>
        <w:t>Ak sa opatrenia považujú za nedostatočné, hospodársky subjekt dostane odôvodnenie.</w:t>
      </w:r>
    </w:p>
    <w:p>
      <w:r>
        <w:t>Hospodársky subjekt, ktorý bol právoplatným rozsudkom v ktoromkoľvek členskom štáte vylúčený z účasti na postupoch obstarávania, nie je počas obdobia vylúčenia vyplývajúceho z tohto rozsudku oprávnený využiť možnosť stanovenú v tomto odseku.</w:t>
      </w:r>
    </w:p>
    <w:p>
      <w:r>
        <w:t>Členské štáty môžu určiť vnútroštátny orgán príslušný na hodnotenie dôkazov a rozhodnúť, či sú dostatočné na účely tohto odseku. Obstarávatelia sa na účely svojich postupov obstarávania spoliehajú na kladné rozhodnutie príslušného vnútroštátneho orgánu.</w:t>
      </w:r>
    </w:p>
    <w:p>
      <w:r>
        <w:t>3. Ak sa neprijmú žiadne opatrenia uvedené v odseku 2 a ak sa obdobie vylúčenia nestanovilo v konečnom rozsudku, obstarávatelia môžu vylúčiť hospodárske subjekty podľa tohto článku počas obdobia piatich rokov odo dňa konania, ktoré viedlo k vylúčeniu, alebo v prípade pokračujúceho alebo opakovaného konania odo dňa, keď sa konanie skončilo, ale nie po tomto maximálnom období.</w:t>
      </w:r>
    </w:p>
    <w:p>
      <w:r>
        <w:t>4. Ak obstarávateľ vylúči hospodársky subjekt na základe odseku 1 písm. h), informuje o tom Komisiu.</w:t>
      </w:r>
    </w:p>
    <w:p>
      <w:r>
        <w:rPr>
          <w:sz w:val="16"/>
        </w:rPr>
        <w:t>41 Nariadenie Európskeho parlamentu a Rady (EÚ) 2022/2560 zo 14. decembra 2022 o zahraničných subvenciách narúšajúcich vnútorný trh (Ú. v EÚ L 330, 23.12.2022, s. 1, ELI: http://data.europa.eu/eli/reg/2022/2560/oj).</w:t>
      </w:r>
    </w:p>
    <w:p>
      <w:pPr>
        <w:pStyle w:val="Heading3"/>
        <w:jc w:val="center"/>
      </w:pPr>
      <w:r>
        <w:t>Článok 27</w:t>
      </w:r>
    </w:p>
    <w:p>
      <w:pPr>
        <w:pStyle w:val="Heading4"/>
        <w:jc w:val="center"/>
      </w:pPr>
      <w:r>
        <w:t>Kritériá výberu</w:t>
      </w:r>
    </w:p>
    <w:p>
      <w:r>
        <w:t>1. Ak sa obstarávatelia rozhodnú využiť kritériá výberu, stanovia takéto kritériá v súlade s podmienkami uvedenými v tomto článku.</w:t>
      </w:r>
    </w:p>
    <w:p>
      <w:r>
        <w:t>2. Podmienky účasti sa vzťahujú len na:</w:t>
      </w:r>
    </w:p>
    <w:p>
      <w:r>
        <w:t>a) technickú a odbornú spôsobilosť v zmysle odsekov 4, 5 a 6;</w:t>
      </w:r>
    </w:p>
    <w:p>
      <w:r>
        <w:t>b) právne, ekonomické a finančné postavenie v zmysle odseku 7.</w:t>
      </w:r>
    </w:p>
    <w:p>
      <w:r>
        <w:t>3. Obstarávatelia obmedzia všetky požiadavky na tie, ktoré sú vhodné na zabezpečenie toho, aby mal hospodársky subjekt právne, ekonomické a finančné kapacity a technickú a odbornú spôsobilosť na plnenie zákazky, ktorá sa má zadať. Všetky požiadavky sa vzťahujú na zložitosť predmetu zákazky a riziká s ním spojené a sú primerané.</w:t>
      </w:r>
    </w:p>
    <w:p>
      <w:r>
        <w:t>4. Ak je to odôvodnené predmetom zákazky, obstarávatelia môžu od hospodárskych subjektov požadovať, aby boli zapísané v jednom z profesijných alebo obchodných registrov zriadených v krajine, v ktorej hospodársky subjekt vykonáva svoju hlavnú činnosť.</w:t>
      </w:r>
    </w:p>
    <w:p>
      <w:r>
        <w:t>Pri postupoch obstarávania služieb, ak sa od hospodárskych subjektov vyžaduje, aby boli držiteľmi osobitného povolenia alebo členmi určitej organizácie, aby mohli vo svojej krajine pôvodu poskytovať príslušné služby, obstarávateľ od nich môže vyžadovať, aby preukázali, že sú držiteľmi takéhoto povolenia alebo sú členmi určitej organizácie.</w:t>
      </w:r>
    </w:p>
    <w:p>
      <w:r>
        <w:t>Certifikovaný zápis v úradných zoznamoch príslušnými orgánmi alebo certifikát vydaný certifikačným orgánom predstavuje predpoklad súladu s požiadavkami stanovenými podľa tohto odseku.</w:t>
      </w:r>
    </w:p>
    <w:p>
      <w:r>
        <w:t>5. Vo všetkých odkazoch na kvalifikácie alebo kvalifikačné úrovne zahrnuté do výberových kritérií sa uvádzajú úrovne európskeho kvalifikačného rámca stanovené v prílohe II k odporúčaniu Rady z 22. mája 2017[42].</w:t>
      </w:r>
    </w:p>
    <w:p>
      <w:r>
        <w:t>6. Obstarávatelia môžu stanoviť požiadavky, ktorými sa zabezpečí, aby hospodárske subjekty mali potrebné ľudské a technické zdroje a skúsenosti na plnenie zákazky na primeranej kvalitatívnej úrovni.</w:t>
      </w:r>
    </w:p>
    <w:p>
      <w:r>
        <w:t>Pokiaľ to nie je odôvodnené zložitosťou zákazky alebo povahou predmetu zákazky, obstarávatelia nesmú vyžadovať predchádzajúce skúsenosti s verejnými zákazkami ako podmienku účasti na postupe obstarávania.</w:t>
      </w:r>
    </w:p>
    <w:p>
      <w:r>
        <w:t>Obstarávateľ môže predpokladať, že hospodársky subjekt nemá požadovanú odbornú spôsobilosť, ak:</w:t>
      </w:r>
    </w:p>
    <w:p>
      <w:r>
        <w:t>a) obstarávateľ vhodnými prostriedkami zistil, že hospodársky subjekt má protichodné záujmy, ktoré môžu negatívne ovplyvniť plnenie zákazky; alebo</w:t>
      </w:r>
    </w:p>
    <w:p>
      <w:r>
        <w:t>b) obstarávateľ bol vhodnými prostriedkami upozornený na to, že hospodársky subjekt predstavuje bezpečnostné riziko pre členský štát alebo Úniu ako celok.</w:t>
      </w:r>
    </w:p>
    <w:p>
      <w:r>
        <w:t>7. Obstarávatelia môžu od hospodárskych subjektov vyžadovať, aby spĺňali ktorékoľvek z týchto kritérií:</w:t>
      </w:r>
    </w:p>
    <w:p>
      <w:r>
        <w:t>a) mať primeraný minimálny ročný celkový obrat;</w:t>
      </w:r>
    </w:p>
    <w:p>
      <w:r>
        <w:t>b) mať primeraný minimálny obrat v oblasti, na ktorú sa vzťahuje zákazka;</w:t>
      </w:r>
    </w:p>
    <w:p>
      <w:r>
        <w:t>c) poskytovať informácie o svojej ročnej účtovnej závierke vrátane pomeru medzi aktívami a pasívami;</w:t>
      </w:r>
    </w:p>
    <w:p>
      <w:r>
        <w:t>d) mať primeranú úroveň poistenia zodpovednosti za škodu spôsobenú pri výkone povolania.</w:t>
      </w:r>
    </w:p>
    <w:p>
      <w:r>
        <w:t>Minimálne obraty uvedené v prvom pododseku nepresiahnu 50 % odhadovanej ročnej hodnoty zákazky s výnimkou riadne odôvodnených prípadov, ako sú osobitné riziká spojené s povahou prác, služieb alebo tovaru.</w:t>
      </w:r>
    </w:p>
    <w:p>
      <w:r>
        <w:t>Obstarávateľ uvedie hlavné dôvody takejto požiadavky v podrobnostiach obstarávania.</w:t>
      </w:r>
    </w:p>
    <w:p>
      <w:r>
        <w:t>Informácie z ročnej účtovnej závierky sa môžu zohľadniť len vtedy, ak obstarávateľ uviedol metódy a kritériá takéhoto zohľadnenia v podrobnostiach verejného obstarávania. Tieto metódy a kritériá musia byť transparentné, objektívne a nediskriminačné.</w:t>
      </w:r>
    </w:p>
    <w:p>
      <w:r>
        <w:t>8. Informácie, ktoré možno určiť z existujúcich vnútroštátnych databáz zriadených verejným subjektom alebo z registrácie v úradných zoznamoch alebo certifikáciách, sa nespochybňujú bez dostatočného odôvodnenia.</w:t>
      </w:r>
    </w:p>
    <w:p>
      <w:r>
        <w:rPr>
          <w:sz w:val="16"/>
        </w:rPr>
        <w:t>42 Odporúčanie Rady z 22. mája 2017 týkajúce sa európskeho kvalifikačného rámca pre celoživotné vzdelávanie, ktorým sa zrušuje odporúčanie Európskeho parlamentu a Rady z 23. apríla 2008 o vytvorení európskeho kvalifikačného rámca pre celoživotné vzdelávanie (Ú. v. EÚ C 189, 15.6.2017, s. 15).</w:t>
      </w:r>
    </w:p>
    <w:p>
      <w:pPr>
        <w:pStyle w:val="Heading2"/>
        <w:jc w:val="center"/>
      </w:pPr>
      <w:r>
        <w:t>Kapitola 3</w:t>
      </w:r>
    </w:p>
    <w:p>
      <w:pPr>
        <w:pStyle w:val="Heading2"/>
        <w:jc w:val="center"/>
      </w:pPr>
      <w:r>
        <w:t>Dôkazné prostriedky týkajúce sa oprávnenosti a prístupu do databázy</w:t>
      </w:r>
    </w:p>
    <w:p>
      <w:pPr>
        <w:pStyle w:val="Heading3"/>
        <w:jc w:val="center"/>
      </w:pPr>
      <w:r>
        <w:t>Článok 28</w:t>
      </w:r>
    </w:p>
    <w:p>
      <w:pPr>
        <w:pStyle w:val="Heading4"/>
        <w:jc w:val="center"/>
      </w:pPr>
      <w:r>
        <w:t>Dôkazné prostriedky o oprávnenosti hospodárskych subjektov</w:t>
      </w:r>
    </w:p>
    <w:p>
      <w:r>
        <w:t>1. Obstarávatelia požadujú od hospodárskych subjektov, aby používali elektronickú službu oprávnenosti zriadenú podľa článku 133 ako dôkazný prostriedok pre:</w:t>
      </w:r>
    </w:p>
    <w:p>
      <w:r>
        <w:t>a) neexistencia dôvodov na vylúčenie podľa článkov 25 a 26;</w:t>
      </w:r>
    </w:p>
    <w:p>
      <w:r>
        <w:t>b) splnenie podmienok účasti podľa článku 27.</w:t>
      </w:r>
    </w:p>
    <w:p>
      <w:r>
        <w:t>Ak sa hospodársky subjekt spolieha na kapacity iných subjektov podľa článku 23 alebo navrhuje využiť subdodávateľov pri plnení zákazky podľa článku 24, hospodársky subjekt poskytne informácie uvedené v prvom pododseku aj pre tieto subjekty prostredníctvom elektronickej služby oprávnenosti.</w:t>
      </w:r>
    </w:p>
    <w:p>
      <w:r>
        <w:t>2. Ak elektronická služba oprávnenosti umožňuje automatizované overenie existencie dôvodu na vylúčenie alebo splnenia podmienky účasti, obstarávatelia použijú toto overenie na svoje rozhodnutie o oprávnenosti.</w:t>
      </w:r>
    </w:p>
    <w:p>
      <w:r>
        <w:t>3. Hospodárske subjekty používajú digitálny nástroj na získanie obchodného certifikátu, ako sa stanovuje v článku 133. Ak hospodársky subjekt nemá prístup k tomuto nástroju alebo ak príslušné dôkazy nie sú prostredníctvom tohto nástroja k dispozícii, hospodársky subjekt prostredníctvom elektronickej služby oprávnenosti vyhlási, či spĺňa požiadavky stanovené pre dôvody na vylúčenie a podmienky účasti a či by bol schopný predložiť požadované dôkazy (vlastné vyhlásenie).</w:t>
      </w:r>
    </w:p>
    <w:p>
      <w:r>
        <w:t>V takom prípade môže obstarávateľ kedykoľvek počas postupu požadovať dôkazy, ktoré nie sú k dispozícii prostredníctvom elektronickej služby oprávnenosti, ak je to potrebné na posúdenie požiadaviek obstarávateľa.</w:t>
      </w:r>
    </w:p>
    <w:p>
      <w:r>
        <w:t>4. Hospodárske subjekty uvedú svoju krajinu pôvodu v súlade s článkom 74 v elektronickej službe oprávnenosti uvedenej v článku 133.</w:t>
      </w:r>
    </w:p>
    <w:p>
      <w:r>
        <w:t>Ak sa to vyžaduje na uplatňovanie požiadaviek podľa článku 73 ods. 2, hospodárske subjekty uvedú krajinu pôvodu tovaru, ktorá tvorí ich ponuku, a v náležitých prípadoch ju začlenia do digitálneho pasu výrobku tovaru podľa nariadenia (EÚ) 2024/1781.</w:t>
      </w:r>
    </w:p>
    <w:p>
      <w:r>
        <w:t>Ak obstarávatelia vykonávajú postup obstarávania uplatnením jedného alebo viacerých opatrení stanovených v časti III hlave II kapitole 5, môžu kedykoľvek počas postupu verejného obstarávania požiadať hospodársky subjekt, aby doplnil, objasnil alebo doplnil informácie alebo dokumentáciu týkajúcu sa overenia pôvodu hospodárskeho subjektu alebo ponúkaného tovaru, služieb alebo prác za predpokladu, že takéto žiadosti sú v súlade so zásadami rovnakého zaobchádzania a transparentnosti.</w:t>
      </w:r>
    </w:p>
    <w:p>
      <w:r>
        <w:t>Ak hospodársky subjekt neposkytne informácie alebo dokumentáciu uvedené v treťom pododseku bez primeraného vysvetlenia, a tým zabráni obstarávateľovi overiť pôvod, alebo takéto overenie prakticky znemožní alebo veľmi sťaží, hospodársky subjekt alebo ponuka, ktorú predložil, môže byť vylúčený z účasti na dotknutom postupe verejného obstarávania.</w:t>
      </w:r>
    </w:p>
    <w:p>
      <w:pPr>
        <w:pStyle w:val="Heading3"/>
        <w:jc w:val="center"/>
      </w:pPr>
      <w:r>
        <w:t>Článok 29</w:t>
      </w:r>
    </w:p>
    <w:p>
      <w:pPr>
        <w:pStyle w:val="Heading4"/>
        <w:jc w:val="center"/>
      </w:pPr>
      <w:r>
        <w:t>Pripojenie databáz k elektronickej službe oprávnenosti</w:t>
      </w:r>
    </w:p>
    <w:p>
      <w:r>
        <w:t>1. Členské štáty do 15. júna 2029 poskytnú bezplatný prístup k digitálnemu nástroju na udeľovanie podnikateľských certifikátov podľa článku 133 do vnútroštátnych databáz, v ktorých:</w:t>
      </w:r>
    </w:p>
    <w:p>
      <w:r>
        <w:t>a) právoplatné rozsudky za trestné činy uvedené v článku 25 ods. 1 sa zaznamenávajú, najmä do vnútroštátnych registrov trestov v prípade právnických a fyzických osôb;</w:t>
      </w:r>
    </w:p>
    <w:p>
      <w:r>
        <w:t>b) boli zaznamenané informácie o kľúčových osobách podľa článku 25 ods. 1 druhého pododseku, najmä vo vnútroštátnych profesijných alebo obchodných registroch;</w:t>
      </w:r>
    </w:p>
    <w:p>
      <w:r>
        <w:t>c) dôkazy týkajúce sa neuhradených platieb daní alebo príspevkov na sociálne zabezpečenie podľa článku 25 ods. 2 sa zaznamenávajú, najmä vo vnútroštátnych profesijných alebo obchodných registroch a v daňových databázach a databázach sociálneho zabezpečenia;</w:t>
      </w:r>
    </w:p>
    <w:p>
      <w:r>
        <w:t>d) dôkazy týkajúce sa konkurzu, platobnej neschopnosti a reštrukturalizácie podľa článku 25 ods. 4 písm. b) sú zaznamenané, najmä vo vnútroštátnych profesijných alebo obchodných registroch a vo vnútroštátnych registroch konkurzov, platobnej neschopnosti a reorganizácií vrátane súdnych registrov;</w:t>
      </w:r>
    </w:p>
    <w:p>
      <w:r>
        <w:t>e) dôkazy týkajúce sa súladu s podmienkami účasti stanovenými podľa článku 27 tohto nariadenia a na účely posúdenia pôvodu podľa článku 74 tohto nariadenia sa uchovávajú najmä vo vnútroštátnych profesijných alebo obchodných registroch a registroch konečných užívateľov výhod zriadených podľa článku 12 smernice (EÚ) 2024/1640;</w:t>
      </w:r>
    </w:p>
    <w:p>
      <w:r>
        <w:t>f) zaznamenávajú sa akékoľvek iné štruktúrované dôkazy relevantné v rámci rozsahu pôsobnosti tohto nariadenia, ako sú štítky, špecifikácie vrátane bezpečnostných požiadaviek alebo dôkazné prostriedky v súvislosti s požiadavkami na výrobok podľa článku 92.</w:t>
      </w:r>
    </w:p>
    <w:p>
      <w:r>
        <w:t>2. Prístup podľa odseku 1 sa podľa možnosti poskytuje takým spôsobom, aby elektronická služba oprávnenosti mohla automatizovať overovanie, ako sa stanovuje v článku 28 ods. 2. Automatizované overovanie sa zabezpečí najmä v prípade vnútroštátnych registrov trestov, daňových databáz a databáz sociálneho zabezpečenia, ako aj vnútroštátnych registrov konkurzov, platobnej neschopnosti a reorganizácií. Takéto overovanie podlieha vhodným opatreniam na ochranu práv slobôd dotknutých osôb podľa článkov 10 a 22 nariadenia (EÚ) 2016/679. Osobné údaje sa použijú len na účely zabezpečenia toho, aby hospodársky subjekt spĺňal požiadavky tohto nariadenia.</w:t>
      </w:r>
    </w:p>
    <w:p>
      <w:r>
        <w:t>3. Členské štáty informujú Komisiu o všetkých novovytvorených vnútroštátnych databázach, ktoré sú schopné poskytovať dôkazné prostriedky prostredníctvom digitálneho nástroja na udeľovanie podnikateľských certifikátov, a poskytnú tomuto digitálnemu nástroju na udeľovanie podnikateľských certifikátov bezplatný prístup k takýmto vnútroštátnym databázam.</w:t>
      </w:r>
    </w:p>
    <w:p>
      <w:pPr>
        <w:pStyle w:val="Heading2"/>
        <w:jc w:val="center"/>
      </w:pPr>
      <w:r>
        <w:t>Časť III</w:t>
      </w:r>
    </w:p>
    <w:p>
      <w:pPr>
        <w:pStyle w:val="Heading2"/>
        <w:jc w:val="center"/>
      </w:pPr>
      <w:r>
        <w:t>Postupy zadávania verejných zákaziek</w:t>
      </w:r>
    </w:p>
    <w:p>
      <w:pPr>
        <w:pStyle w:val="Heading2"/>
        <w:jc w:val="center"/>
      </w:pPr>
      <w:r>
        <w:t>Hlava I</w:t>
      </w:r>
    </w:p>
    <w:p>
      <w:pPr>
        <w:pStyle w:val="Heading2"/>
        <w:jc w:val="center"/>
      </w:pPr>
      <w:r>
        <w:t>Postupy verejného obstarávania</w:t>
      </w:r>
    </w:p>
    <w:p>
      <w:pPr>
        <w:pStyle w:val="Heading2"/>
        <w:jc w:val="center"/>
      </w:pPr>
      <w:r>
        <w:t>Kapitola 1</w:t>
      </w:r>
    </w:p>
    <w:p>
      <w:pPr>
        <w:pStyle w:val="Heading2"/>
        <w:jc w:val="center"/>
      </w:pPr>
      <w:r>
        <w:t>Predbežné kroky a všeobecné ustanovenia</w:t>
      </w:r>
    </w:p>
    <w:p>
      <w:pPr>
        <w:pStyle w:val="Heading3"/>
        <w:jc w:val="center"/>
      </w:pPr>
      <w:r>
        <w:t>Článok 30</w:t>
      </w:r>
    </w:p>
    <w:p>
      <w:pPr>
        <w:pStyle w:val="Heading4"/>
        <w:jc w:val="center"/>
      </w:pPr>
      <w:r>
        <w:t>Predbežné trhové konzultácie</w:t>
      </w:r>
    </w:p>
    <w:p>
      <w:r>
        <w:t>1. Obstarávatelia môžu uskutočniť trhové konzultácie s cieľom pripraviť svoje obstarávanie a získať poznatky o trhu vrátane dostupnosti inovačných riešení alebo potenciálu ich vývoja.</w:t>
      </w:r>
    </w:p>
    <w:p>
      <w:r>
        <w:t>2. Ak obstarávatelia vedú trhové konzultácie podľa odseku 1 tohto článku, oznámia tieto konzultácie v súlade s článkom 110.</w:t>
      </w:r>
    </w:p>
    <w:p>
      <w:r>
        <w:t>3. Počas trhových konzultácií môžu obstarávatelia požadovať alebo prijímať informácie a poradenstvo od širokej verejnosti, nezávislých odborníkov, verejných orgánov, účastníkov trhu alebo iných príslušných strán. Informácie a poradenstvo môžu mať formu písomnej alebo ústnej výmeny, predvádzania prototypov, živých predvádzaní alebo iných vhodných objektívnych formátov. Takéto informácie a poradenstvo sa môžu použiť pri plánovaní a vykonávaní postupov verejného obstarávania, pričom sa dodržiavajú zásady rovnakého zaobchádzania, nediskriminácie, spravodlivej hospodárskej súťaže a transparentnosti.</w:t>
      </w:r>
    </w:p>
    <w:p>
      <w:r>
        <w:t>4. Účasťou hospodárskeho subjektu na trhovej konzultácii nie je dotknutá jeho oprávnenosť na postup verejného obstarávania.</w:t>
      </w:r>
    </w:p>
    <w:p>
      <w:pPr>
        <w:pStyle w:val="Heading3"/>
        <w:jc w:val="center"/>
      </w:pPr>
      <w:r>
        <w:t>Článok 31</w:t>
      </w:r>
    </w:p>
    <w:p>
      <w:pPr>
        <w:pStyle w:val="Heading4"/>
        <w:jc w:val="center"/>
      </w:pPr>
      <w:r>
        <w:t>Výber konania</w:t>
      </w:r>
    </w:p>
    <w:p>
      <w:r>
        <w:t>1. Obstarávatelia môžu použiť verejnú súťaž stanovenú v článku 34 a dynamický postup stanovený v článku 36 bez ohľadu na druh potrebných prác, tovaru alebo služieb.</w:t>
      </w:r>
    </w:p>
    <w:p>
      <w:r>
        <w:t>2. Obstarávatelia môžu využiť inovačný postup na riešenie spoločenskej výzvy, pre ktorú neidentifikovali existujúce vhodné alebo žiaduce riešenie, ktoré má vypracovať úspešný uchádzač (úspešní uchádzači) v priebehu inovačného postupu.</w:t>
      </w:r>
    </w:p>
    <w:p>
      <w:r>
        <w:t>3. Obstarávatelia môžu použiť osobitný postup opísaný v článku 46 len v osobitných prípadoch a za osobitných okolností stanovených v článkoch 47 a 48.</w:t>
      </w:r>
    </w:p>
    <w:p>
      <w:pPr>
        <w:pStyle w:val="Heading3"/>
        <w:jc w:val="center"/>
      </w:pPr>
      <w:r>
        <w:t>Článok 32</w:t>
      </w:r>
    </w:p>
    <w:p>
      <w:pPr>
        <w:pStyle w:val="Heading4"/>
        <w:jc w:val="center"/>
      </w:pPr>
      <w:r>
        <w:t>Odhad hodnoty zákazky</w:t>
      </w:r>
    </w:p>
    <w:p>
      <w:r>
        <w:t>1. Obstarávatelia, ktorí majú v úmysle zadať zákazku, odhadnú hodnotu zákazky na základe odhadovaných nákladov na riešenie, ktoré spĺňa potreby obstarávateľa. Odhad sa zakladá na maximálnej sume, ktorá sa má vynaložiť na uspokojenie potrieb počas celého trvania zákazky bez ohľadu na to, či bola zadaná jednému alebo viacerým hospodárskym subjektom, vrátane všetkých foriem platieb a výhod, ako sú:</w:t>
      </w:r>
    </w:p>
    <w:p>
      <w:r>
        <w:t>a) poistné, poplatky, provízie a úroky;</w:t>
      </w:r>
    </w:p>
    <w:p>
      <w:r>
        <w:t>b) celkovú hodnotu opcií alebo obnovení, ak sa v zmluve stanovuje možnosť opcií alebo obnovení.</w:t>
      </w:r>
    </w:p>
    <w:p>
      <w:r>
        <w:t>2. Ak obstarávatelia na uspokojenie svojich potrieb uzavrú viac ako jednu po sebe idúcu zmluvu, výpočet odhadovanej hodnoty sa zakladá na:</w:t>
      </w:r>
    </w:p>
    <w:p>
      <w:r>
        <w:t>a) hodnota opakujúcich sa zákaziek na rovnaký typ nákupu počas predchádzajúcich 12 mesiacov alebo predchádzajúceho finančného roka kupujúceho upravená, ak je to možné, tak, aby sa zohľadnili očakávané zmeny množstva alebo odhadovanej hodnoty riešenia, ktoré sa má obstarať počas nasledujúcich 12 mesiacov;</w:t>
      </w:r>
    </w:p>
    <w:p>
      <w:r>
        <w:t>b) odhadovaná hodnota opakujúcich sa zákaziek na rovnaký druh nákupu počas 12 mesiacov nasledujúcich po pôvodnej zákazke alebo v predchádzajúcom finančnom roku obstarávateľa.</w:t>
      </w:r>
    </w:p>
    <w:p>
      <w:pPr>
        <w:pStyle w:val="Heading3"/>
        <w:jc w:val="center"/>
      </w:pPr>
      <w:r>
        <w:t>Článok 33</w:t>
      </w:r>
    </w:p>
    <w:p>
      <w:pPr>
        <w:pStyle w:val="Heading4"/>
        <w:jc w:val="center"/>
      </w:pPr>
      <w:r>
        <w:t>Vedenie rokovaní</w:t>
      </w:r>
    </w:p>
    <w:p>
      <w:r>
        <w:t>1. Obstarávatelia dodržiavajú pri vedení rokovaní zásady proporcionality a rovnakého zaobchádzania a zabezpečia, aby v ktoromkoľvek danom kole rokovaní počet diskutovaných riešení umožňoval skutočnú hospodársku súťaž. Obstarávatelia zabezpečia, aby akékoľvek zverejnenie informácií počas rokovaní neovplyvnilo obchodné záujmy hospodárskych subjektov, ktoré sa na takýchto rokovaniach zúčastňujú.</w:t>
      </w:r>
    </w:p>
    <w:p>
      <w:r>
        <w:t>2. Bez toho, aby boli dotknuté iné príslušné právne predpisy Únie, obstarávatelia môžu rokovať o všetkých nepodstatných charakteristikách prác, tovaru a služieb určených na nákup, ktoré môžu zahŕňať určité prvky týkajúce sa napríklad technického prínosu, množstva, dodacích podmienok a iných obchodných aspektov, ale nezahŕňajú dôvody na vylúčenie, podmienky účasti a kritériá na vyhodnotenie ponúk.</w:t>
      </w:r>
    </w:p>
    <w:p>
      <w:r>
        <w:t>Obstarávatelia jasne uvedú vo verejnom zhrnutí hospodárskej súťaže charakteristiky stavebných prác, tovaru a služieb, ktoré nie sú predmetom rokovania. Tieto údaje musia byť dostatočne presné a úplné na vymedzenie predmetu zákazky a musia obsahovať základné podmienky zákazky, o ktoré by sa hospodárske subjekty oprávnene opierali pri rozhodovaní o tom, či sa zúčastnia na postupe zadávania zákazky.</w:t>
      </w:r>
    </w:p>
    <w:p>
      <w:r>
        <w:t>Rokovania nesmú podstatne zmeniť predmet zákazky.</w:t>
      </w:r>
    </w:p>
    <w:p>
      <w:r>
        <w:t>3. Obstarávatelia môžu viesť rokovania v jednom alebo vo viacerých kolách. Po každom kole sa hospodárske subjekty, ktoré sa zúčastňujú na rokovaniach, vyzvú, aby predložili ponuku, a obstarávatelia sa môžu rozhodnúť znížiť počet účastníkov na základe kritérií na vyhodnotenie ponúk stanovených podľa článku 98.</w:t>
      </w:r>
    </w:p>
    <w:p>
      <w:r>
        <w:t>Obstarávatelia informujú hospodárske subjekty o začatí nového kola rokovaní a o tom, či budú alebo nebudú pozvané. Obstarávatelia informujú všetkých uchádzačov, ktorých ponuky neboli vylúčené, o akýchkoľvek zmenách špecifikácií alebo zmenách iných častí podrobností obstarávania v dôsledku rokovaní.</w:t>
      </w:r>
    </w:p>
    <w:p>
      <w:r>
        <w:t>Obstarávatelia poskytnú uchádzačom dostatočný čas na prípadnú úpravu a opätovné predloženie zmenených ponúk. Hospodárske subjekty môžu predložiť revidované ponuky v závislosti od výsledku rokovaní.</w:t>
      </w:r>
    </w:p>
    <w:p>
      <w:r>
        <w:t>Ak sa obstarávateľ rozhodol uzavrieť rokovania a pristúpiť k zadaniu zákazky, vyzve všetky ostatné hospodárske subjekty, aby predložili konečnú ponuku.</w:t>
      </w:r>
    </w:p>
    <w:p>
      <w:pPr>
        <w:pStyle w:val="Heading2"/>
        <w:jc w:val="center"/>
      </w:pPr>
      <w:r>
        <w:t>Kapitola 2</w:t>
      </w:r>
    </w:p>
    <w:p>
      <w:pPr>
        <w:pStyle w:val="Heading2"/>
        <w:jc w:val="center"/>
      </w:pPr>
      <w:r>
        <w:t>Otvorený postup</w:t>
      </w:r>
    </w:p>
    <w:p>
      <w:pPr>
        <w:pStyle w:val="Heading3"/>
        <w:jc w:val="center"/>
      </w:pPr>
      <w:r>
        <w:t>Článok 34</w:t>
      </w:r>
    </w:p>
    <w:p>
      <w:pPr>
        <w:pStyle w:val="Heading4"/>
        <w:jc w:val="center"/>
      </w:pPr>
      <w:r>
        <w:t>Začatie a priebeh verejnej súťaže</w:t>
      </w:r>
    </w:p>
    <w:p>
      <w:r>
        <w:t>1. Vo verejnej súťaži obstarávatelia oznámia svoje potreby v oblasti obstarávania prostredníctvom verejného zhrnutia súťaže uverejneného podľa článku 110, v ktorom uvedú, či a ktoré podmienky účasti sa uplatňujú a či majú v úmysle rokovať.</w:t>
      </w:r>
    </w:p>
    <w:p>
      <w:r>
        <w:t>2. Každý hospodársky subjekt, ktorý má záujem, môže vyjadriť svoj záujem a predložiť ponuku (ďalej len „prvá ponuka“) prostredníctvom elektronickej služby oprávnenosti uvedenej v článku 133. Vyjadrenie záujmu sa predkladá spolu s ponukou, v ktorej sa uvádza najmä to, ako hospodársky subjekt navrhuje riešiť potreby obstarávateľa. Lehota na prijatie vyjadrení záujmu spolu s ponukami nesmie byť kratšia ako 20 dní od uverejnenia verejného zhrnutia súťaže.</w:t>
      </w:r>
    </w:p>
    <w:p>
      <w:r>
        <w:t>3. Ak obstarávateľ uviedol, že nemá v úmysle rokovať, zadá zákazku v súlade s článkom 98 jednému alebo viacerým hospodárskym subjektom, ktoré sa nenachádzajú v situácii vyžadujúcej vylúčenie a prípadne spĺňajú podmienky účasti stanovené podľa článku 27. Zákazka sa zadá na základe prvých ponúk predložených podľa odseku 2.</w:t>
      </w:r>
    </w:p>
    <w:p>
      <w:r>
        <w:t>4. Ak obstarávateľ uviedol, že má v úmysle rokovať, zašle výzvu na rokovanie všetkým zainteresovaným hospodárskym subjektom, ktoré sa nenachádzajú v situácii vyžadujúcej si vylúčenie a ktoré prípadne spĺňajú podmienky účasti stanovené podľa článku 27.</w:t>
      </w:r>
    </w:p>
    <w:p>
      <w:r>
        <w:t>5. Rokovania sa vedú v súlade s článkom 33. Ak sa obstarávateľ rozhodol ukončiť rokovania a vyzval všetky ostatné hospodárske subjekty, aby predložili konečnú ponuku, zákazka sa zadá na základe týchto konečných ponúk.</w:t>
      </w:r>
    </w:p>
    <w:p>
      <w:r>
        <w:t>6. Obstarávatelia sa môžu rozhodnúť nerokovať napriek tomu, že uviedli svoj zámer tak urobiť, ale namiesto toho pristúpiť k zadaniu zákazky na základe prvých ponúk za predpokladu, že si vyhradili možnosť tak urobiť vo verejnom zhrnutí hospodárskej súťaže.</w:t>
      </w:r>
    </w:p>
    <w:p>
      <w:pPr>
        <w:pStyle w:val="Heading3"/>
        <w:jc w:val="center"/>
      </w:pPr>
      <w:r>
        <w:t>Článok 35</w:t>
      </w:r>
    </w:p>
    <w:p>
      <w:pPr>
        <w:pStyle w:val="Heading4"/>
        <w:jc w:val="center"/>
      </w:pPr>
      <w:r>
        <w:t>Dokončenie postupu a zadanie zákazky</w:t>
      </w:r>
    </w:p>
    <w:p>
      <w:r>
        <w:t>1. Obstarávatelia zadajú zákazku uchádzačovi alebo uchádzačom, ktorí predložili ponuku s najlepšou kvalitou za vynaložené peniaze v súlade s článkom 98.</w:t>
      </w:r>
    </w:p>
    <w:p>
      <w:r>
        <w:t>2. Bez toho, aby bola dotknutá odkladná lehota stanovená v smerniciach 89/665/EHS[43] a 92/13/EHS[44], sa zmluva uzavrie v súlade s uplatniteľným právom členského štátu obstarávateľa.</w:t>
      </w:r>
    </w:p>
    <w:p>
      <w:r>
        <w:rPr>
          <w:sz w:val="16"/>
        </w:rPr>
        <w:t>43 Smernica Rady 89/665/EHS z 21. decembra 1989 o koordinácii zákonov, iných právnych predpisov a správnych opatrení týkajúcich sa uplatňovania postupov preskúmavania v rámci verejného obstarávania tovarov a prác (Ú. v. ES L 395, 30.12.1989, s. 33, ELI: http://data.europa.eu/eli/dir/1989/665/oj).</w:t>
      </w:r>
    </w:p>
    <w:p>
      <w:r>
        <w:rPr>
          <w:sz w:val="16"/>
        </w:rPr>
        <w:t>44 Smernica Rady 92/13/EHS z 25. februára 1992, ktorou sa koordinujú zákony, iné právne predpisy a správne opatrenia o uplatňovaní právnych predpisov Spoločenstva o postupoch verejného obstarávania subjektov pôsobiacich vo vodnom, energetickom, dopravnom a telekomunikačnom sektore (Ú. v. ES L 76, 23.3.1992, s. 14,</w:t>
      </w:r>
    </w:p>
    <w:p>
      <w:pPr>
        <w:pStyle w:val="Heading2"/>
        <w:jc w:val="center"/>
      </w:pPr>
      <w:r>
        <w:t>Kapitola 3</w:t>
      </w:r>
    </w:p>
    <w:p>
      <w:pPr>
        <w:pStyle w:val="Heading2"/>
        <w:jc w:val="center"/>
      </w:pPr>
      <w:r>
        <w:t>Dynamický postup</w:t>
      </w:r>
    </w:p>
    <w:p>
      <w:pPr>
        <w:pStyle w:val="Heading3"/>
        <w:jc w:val="center"/>
      </w:pPr>
      <w:r>
        <w:t>Článok 36</w:t>
      </w:r>
    </w:p>
    <w:p>
      <w:pPr>
        <w:pStyle w:val="Heading4"/>
        <w:jc w:val="center"/>
      </w:pPr>
      <w:r>
        <w:t>Dynamický postup</w:t>
      </w:r>
    </w:p>
    <w:p>
      <w:r>
        <w:t>Obstarávatelia môžu použiť dynamický postup, v rámci ktorého sa na vyjadrenie záujmu, predloženie ponuky alebo účasť na rokovaniach o jednotlivých zákazkách na základe daného postupu vyzvú len hospodárske subjekty, ktoré sa zapojili do daného postupu. Hospodárske subjekty môžu požiadať o pripojenie k postupu kedykoľvek počas jeho platnosti.</w:t>
      </w:r>
    </w:p>
    <w:p>
      <w:pPr>
        <w:pStyle w:val="Heading3"/>
        <w:jc w:val="center"/>
      </w:pPr>
      <w:r>
        <w:t>Článok 37</w:t>
      </w:r>
    </w:p>
    <w:p>
      <w:pPr>
        <w:pStyle w:val="Heading4"/>
        <w:jc w:val="center"/>
      </w:pPr>
      <w:r>
        <w:t>Spustenie a platnosť dynamického postupu</w:t>
      </w:r>
    </w:p>
    <w:p>
      <w:r>
        <w:t>1. Obstarávatelia, ktorí vykonávajú dynamický postup, uverejnia verejné zhrnutie súťaže o začatí dynamického postupu podľa článku 110, v ktorom sa uvedie trvanie platnosti postupu, počas ktorého môžu zainteresované hospodárske subjekty požiadať o pripojenie sa k postupu a počas ktorého sa môžu vykonávať nadobudnutia na základe postupu. Dynamický postup zostáva otvorený pre všetky hospodárske subjekty, ktoré majú záujem, počas celej jeho platnosti.</w:t>
      </w:r>
    </w:p>
    <w:p>
      <w:r>
        <w:t>2. Obstarávatelia si môžu vybrať medzi vykonaním dynamického postupu bez podmienok účasti podľa článku 38 alebo dynamického postupu s podmienkami účasti podľa článku 39, a či budú rokovať v súlade s článkom</w:t>
      </w:r>
    </w:p>
    <w:p>
      <w:r>
        <w:t>33. Prijaté rozhodnutia sa uvedú vo verejnom zhrnutí súťaže pri začatí dynamického postupu.</w:t>
      </w:r>
    </w:p>
    <w:p>
      <w:r>
        <w:t>3. Ak majú obstarávatelia v úmysle zadať individuálnu zákazku po prvýkrát na základe dynamického postupu, výzva na vyjadrenie záujmu o konkrétnu zákazku sa uskutoční najskôr 25 dní po uverejnení verejného zhrnutia súťaže o začatí dynamického postupu.</w:t>
      </w:r>
    </w:p>
    <w:p>
      <w:pPr>
        <w:pStyle w:val="Heading3"/>
        <w:jc w:val="center"/>
      </w:pPr>
      <w:r>
        <w:t>Článok 38</w:t>
      </w:r>
    </w:p>
    <w:p>
      <w:pPr>
        <w:pStyle w:val="Heading4"/>
        <w:jc w:val="center"/>
      </w:pPr>
      <w:r>
        <w:t>Uskutočnenie dynamického postupu bez podmienok účasti</w:t>
      </w:r>
    </w:p>
    <w:p>
      <w:r>
        <w:t>ELI: http://data.europa.eu/eli/dir/1992/13/oj).</w:t>
      </w:r>
    </w:p>
    <w:p>
      <w:r>
        <w:t>1. Po uverejnení verejného zhrnutia súťaže a až do uplynutia platnosti postupu sa hospodárske subjekty môžu zapojiť do postupu tým, že svoj profil poskytnú obstarávateľovi prostredníctvom systému oprávnenosti zriadeného podľa článku 133. Zdieľaním svojho profilu hospodárske subjekty vyhlasujú, že sú spôsobilé na plnenie zákazky.</w:t>
      </w:r>
    </w:p>
    <w:p>
      <w:r>
        <w:t>2. Ak majú obstarávatelia v úmysle zadať jednotlivé zákazky na základe dynamického postupu, informujú všetky hospodárske subjekty, ktoré sa dovtedy zapojili do postupu, o jednotlivej zákazke, ktorá sa má zadať, vrátane presného opisu, množstva a načasovania príslušného nákupu. Obstarávatelia vyzvú všetky hospodárske subjekty, ktoré sa zúčastňujú na dynamickom postupe, aby vyjadrili svoj záujem o konkrétnu zákazku, ktorá sa má zadať, pričom stanovia primeranú lehotu na vyjadrenie záujmu.</w:t>
      </w:r>
    </w:p>
    <w:p>
      <w:r>
        <w:t>3. Po uplynutí lehoty uvedenej v odseku 2 obstarávatelia vyzvú hospodárske subjekty, ktoré vyjadrili záujem o konkrétnu zákazku, ktorá sa má zadať, aby buď predložili ponuku, alebo aby predložili prvú ponuku, po ktorej nasledujú rokovania.</w:t>
      </w:r>
    </w:p>
    <w:p>
      <w:r>
        <w:t>Ak je počet vyjadrení záujmu vyšší ako päť, obstarávateľ môže namiesto toho, aby vyzval všetky hospodárske subjekty, ktoré prejavili záujem, vyzvať len päť alebo niekoľko ďalších hospodárskych subjektov vybraných prostredníctvom elektronickej služby oprávnenosti na základe náhodného nerozlišujúceho algoritmického určenia, a prostredníctvom systému oprávnenosti informuje všetky hospodárske subjekty, ktoré neboli prizvané.</w:t>
      </w:r>
    </w:p>
    <w:p>
      <w:r>
        <w:t>4. Za dotknutých uchádzačov v zmysle smerníc 89/665/EHS a 92/13/EHS sa považujú len hospodárske subjekty, ktoré predložili ponuku.</w:t>
      </w:r>
    </w:p>
    <w:p>
      <w:pPr>
        <w:pStyle w:val="Heading3"/>
        <w:jc w:val="center"/>
      </w:pPr>
      <w:r>
        <w:t>Článok 39</w:t>
      </w:r>
    </w:p>
    <w:p>
      <w:pPr>
        <w:pStyle w:val="Heading4"/>
        <w:jc w:val="center"/>
      </w:pPr>
      <w:r>
        <w:t>Uskutočnenie dynamického postupu s výberovými kritériami</w:t>
      </w:r>
    </w:p>
    <w:p>
      <w:r>
        <w:t>1. Po uverejnení verejného zhrnutia súťaže a až do uplynutia platnosti postupu môžu hospodárske subjekty požiadať o účasť v postupe tak, že svoj profil poskytnú obstarávateľovi prostredníctvom systému oprávnenosti zriadeného podľa článku 133. Zdieľaním svojho profilu hospodárske subjekty vyhlasujú, že sú spôsobilé na plnenie zákazky.</w:t>
      </w:r>
    </w:p>
    <w:p>
      <w:r>
        <w:t>2. Obstarávateľ pripustí do konania hospodárske subjekty na základe výberových kritérií uvedených vo verejnom zhrnutí hospodárskej súťaže.</w:t>
      </w:r>
    </w:p>
    <w:p>
      <w:r>
        <w:t>3. Ak majú obstarávatelia v úmysle zadať jednotlivé zákazky na základe dynamického postupu, informujú všetky hospodárske subjekty, ktoré boli dovtedy vybrané na zapojenie sa do postupu, o jednotlivej zákazke, ktorá sa má zadať, vrátane presného opisu, množstva a načasovania príslušného nákupu. Obstarávatelia vyzvú všetky hospodárske subjekty, ktoré sa zúčastňujú na dynamickom postupe, aby vyjadrili svoj záujem o konkrétnu zákazku, ktorá sa má zadať, pričom stanovia primeranú lehotu na vyjadrenie záujmu.</w:t>
      </w:r>
    </w:p>
    <w:p>
      <w:r>
        <w:t>4. Po uplynutí lehoty uvedenej v odseku 3 obstarávatelia vyzvú všetky hospodárske subjekty, ktoré vyjadrili záujem o konkrétnu zákazku, ktorá sa má zadať, aby buď predložili ponuku, alebo aby predložili prvú ponuku, po ktorej nasledujú rokovania.</w:t>
      </w:r>
    </w:p>
    <w:p>
      <w:r>
        <w:t>Odchylne od prvého pododseku sa obstarávatelia môžu rozhodnúť vyzvať len podskupinu hospodárskych subjektov, ktoré prejavili záujem o konkrétnu zákazku, ktorá sa má zadať, na základe objektívnych a nediskriminačných kritérií alebo pravidiel za predpokladu, že ich uviedli vo verejnom zhrnutí hospodárskej súťaže o začatí dynamického postupu.</w:t>
      </w:r>
    </w:p>
    <w:p>
      <w:pPr>
        <w:pStyle w:val="Heading3"/>
        <w:jc w:val="center"/>
      </w:pPr>
      <w:r>
        <w:t>Článok 40</w:t>
      </w:r>
    </w:p>
    <w:p>
      <w:pPr>
        <w:pStyle w:val="Heading4"/>
        <w:jc w:val="center"/>
      </w:pPr>
      <w:r>
        <w:t>Dokončenie postupu a zadanie zákazky</w:t>
      </w:r>
    </w:p>
    <w:p>
      <w:r>
        <w:t>1. Obstarávatelia vyhodnotia konečné ponuky v súlade s článkom 98 a zostavia poradie všetkých hospodárskych subjektov, ktoré predložili konečnú ponuku. Obstarávatelia zadajú zákazku jednému alebo viacerým hospodárskym subjektom, ktoré sa nenachádzajú v situácii vyžadujúcej si vylúčenie. Výsledky tohto hodnotenia vrátane poradia sa oznámia uchádzačom.</w:t>
      </w:r>
    </w:p>
    <w:p>
      <w:r>
        <w:t>2. Obstarávatelia uverejnia pre každú zmluvu podpísanú v rámci dynamického postupu verejné zhrnutie výsledkov podľa článku 110.</w:t>
      </w:r>
    </w:p>
    <w:p>
      <w:pPr>
        <w:pStyle w:val="Heading2"/>
        <w:jc w:val="center"/>
      </w:pPr>
      <w:r>
        <w:t>Kapitola 4</w:t>
      </w:r>
    </w:p>
    <w:p>
      <w:pPr>
        <w:pStyle w:val="Heading2"/>
        <w:jc w:val="center"/>
      </w:pPr>
      <w:r>
        <w:t>Inovačný postup</w:t>
      </w:r>
    </w:p>
    <w:p>
      <w:pPr>
        <w:pStyle w:val="Heading3"/>
        <w:jc w:val="center"/>
      </w:pPr>
      <w:r>
        <w:t>Článok 41</w:t>
      </w:r>
    </w:p>
    <w:p>
      <w:pPr>
        <w:pStyle w:val="Heading4"/>
        <w:jc w:val="center"/>
      </w:pPr>
      <w:r>
        <w:t>Návrh a vykonávanie inovačného postupu</w:t>
      </w:r>
    </w:p>
    <w:p>
      <w:r>
        <w:t>1. Obstarávatelia môžu využiť inovačný postup stanovený v tejto kapitole na riešenie spoločenskej výzvy.</w:t>
      </w:r>
    </w:p>
    <w:p>
      <w:r>
        <w:t>2. Inovačný postup sa vykonáva v týchto fázach:</w:t>
      </w:r>
    </w:p>
    <w:p>
      <w:r>
        <w:t>a) určenie spoločenskej výzvy a návrh rámca posudzovania hodnoty;</w:t>
      </w:r>
    </w:p>
    <w:p>
      <w:r>
        <w:t>b) začatie konania;</w:t>
      </w:r>
    </w:p>
    <w:p>
      <w:r>
        <w:t>c) výber návrhov inovačných riešení;</w:t>
      </w:r>
    </w:p>
    <w:p>
      <w:r>
        <w:t>d) testovanie, validácia a posudzovanie návrhov inovačných riešení;</w:t>
      </w:r>
    </w:p>
    <w:p>
      <w:r>
        <w:t>e) zadanie verejnej zákazky.</w:t>
      </w:r>
    </w:p>
    <w:p>
      <w:r>
        <w:t>3. Obstarávatelia určia spoločenskú výzvu, na ktorú potrebujú návrh inovačného riešenia, a vymedzia rámec posudzovania hodnoty, ktorý sa použije v priebehu postupu posudzovania pridanej hodnoty návrhu inovačného riešenia na riešenie spoločenskej výzvy. Rámec posudzovania hodnoty využíva ukazovatele výkonnosti na meranie toho, do akej miery navrhovaný návrh inovačného riešenia prispieva k riešeniu spoločenskej výzvy objektívnym a merateľným spôsobom. Zahŕňa systém bodového hodnotenia a uvádza sa v ňom minimálny počet bodov potrebný na to, aby návrhy inovačných riešení mohli prejsť do rôznych fáz inovačného postupu.</w:t>
      </w:r>
    </w:p>
    <w:p>
      <w:r>
        <w:t>4. Prvky rámca pre posudzovanie hodnoty sa môžu týkať najmä:</w:t>
      </w:r>
    </w:p>
    <w:p>
      <w:r>
        <w:t>a) zvýšená hodnota pre používateľa a proces, ako je spätná väzba získaná od občanov počas testovania a validácie návrhu inovačného riešenia;</w:t>
      </w:r>
    </w:p>
    <w:p>
      <w:r>
        <w:t>b) kľúčové ukazovatele výkonnosti týkajúce sa zvýšenia efektívnosti alebo menšieho obťažovania pri výkonnosti verejných služieb, zlepšenia výkonnosti v oblasti udržateľnosti, lepšej ochrany zdravia, zníženia vplyvov na životné prostredie alebo zvýšenia bezpečnosti a odolnosti, ako sú bezpečnejšie systémy kybernetickej bezpečnosti;</w:t>
      </w:r>
    </w:p>
    <w:p>
      <w:r>
        <w:t>c) úspory nákladov pre obstarávateľa v porovnaní s tradičnými alebo predtým uplatňovanými riešeniami.</w:t>
      </w:r>
    </w:p>
    <w:p>
      <w:pPr>
        <w:pStyle w:val="Heading3"/>
        <w:jc w:val="center"/>
      </w:pPr>
      <w:r>
        <w:t>Článok 42</w:t>
      </w:r>
    </w:p>
    <w:p>
      <w:pPr>
        <w:pStyle w:val="Heading4"/>
        <w:jc w:val="center"/>
      </w:pPr>
      <w:r>
        <w:t>Začatie inovačného postupu</w:t>
      </w:r>
    </w:p>
    <w:p>
      <w:r>
        <w:t>1. Pred začatím inovačného postupu obstarávatelia uskutočnia trhovú konzultáciu podľa článku 30, ktorá trvá najmenej dva mesiace, pokiaľ nie je vzhľadom na osobitosti zákazky odôvodnené kratšie trvanie.</w:t>
      </w:r>
    </w:p>
    <w:p>
      <w:r>
        <w:t>2. Obstarávateľ sprístupní v rámci trhovej konzultácie tieto informácie:</w:t>
      </w:r>
    </w:p>
    <w:p>
      <w:r>
        <w:t>a) predbežný opis spoločenskej výzvy;</w:t>
      </w:r>
    </w:p>
    <w:p>
      <w:r>
        <w:t>b) predbežný rámec hodnotenia hodnoty;</w:t>
      </w:r>
    </w:p>
    <w:p>
      <w:r>
        <w:t>c) pozvanie na spätnú väzbu a dialóg.</w:t>
      </w:r>
    </w:p>
    <w:p>
      <w:r>
        <w:t>3. Po ukončení trhovej konzultácie obstarávatelia na základe získanej spätnej väzby pripravia a začnú inovačný postup s verejným zhrnutím hospodárskej súťaže v súlade s článkom 110.</w:t>
      </w:r>
    </w:p>
    <w:p>
      <w:r>
        <w:t>Obstarávateľ uvedie v podrobnostiach verejného obstarávania:</w:t>
      </w:r>
    </w:p>
    <w:p>
      <w:r>
        <w:t>a) konečný opis spoločenskej výzvy;</w:t>
      </w:r>
    </w:p>
    <w:p>
      <w:r>
        <w:t>b) minimálne funkčné požiadavky, ktoré musia spĺňať návrhy inovačných riešení;</w:t>
      </w:r>
    </w:p>
    <w:p>
      <w:r>
        <w:t>c) rámec pre konečné posúdenie hodnoty;</w:t>
      </w:r>
    </w:p>
    <w:p>
      <w:r>
        <w:t>d) akékoľvek peňažné alebo nepeňažné príspevky, ktoré obstarávateľ plánuje alebo môže sprístupniť počas fáz postupu;</w:t>
      </w:r>
    </w:p>
    <w:p>
      <w:r>
        <w:t>e) očakávané objemy obstarávania;</w:t>
      </w:r>
    </w:p>
    <w:p>
      <w:r>
        <w:t>f) návrh náčrtov zmlúv o testovaní, validácii a posudzovaní a o zavádzaní návrhu inovačného riešenia s uvedením tém na rokovania o zavádzaní,</w:t>
      </w:r>
    </w:p>
    <w:p>
      <w:r>
        <w:t>g) informácie týkajúce sa prideľovania práv duševného vlastníctva v súlade s článkom 64 ods. 4.</w:t>
      </w:r>
    </w:p>
    <w:p>
      <w:r>
        <w:t>4. Každý hospodársky subjekt môže predložiť návrh inovačného riešenia na základe verejného zhrnutia súťaže spolu so všetkými informáciami potrebnými na výber návrhov inovačných riešení.</w:t>
      </w:r>
    </w:p>
    <w:p>
      <w:pPr>
        <w:pStyle w:val="Heading3"/>
        <w:jc w:val="center"/>
      </w:pPr>
      <w:r>
        <w:t>Článok 43</w:t>
      </w:r>
    </w:p>
    <w:p>
      <w:pPr>
        <w:pStyle w:val="Heading4"/>
        <w:jc w:val="center"/>
      </w:pPr>
      <w:r>
        <w:t>Výber návrhov inovačných riešení</w:t>
      </w:r>
    </w:p>
    <w:p>
      <w:r>
        <w:t>1. Pri výbere návrhov inovačných riešení obstarávateľ vykoná posúdenie oprávnenosti v dvoch fázach.</w:t>
      </w:r>
    </w:p>
    <w:p>
      <w:r>
        <w:t>2. V prvej fáze obstarávateľ:</w:t>
      </w:r>
    </w:p>
    <w:p>
      <w:r>
        <w:t>a) overiť, či nedošlo k vylúčeniu vzťahujúcemu sa na hospodársky subjekt, a ak sa obstarávateľ rozhodne použiť podmienky účasti, dôkaz o podmienkach účasti;</w:t>
      </w:r>
    </w:p>
    <w:p>
      <w:r>
        <w:t>b) potvrdí, že návrh inovačného riešenia, ktorý predložil hospodársky subjekt, spĺňa minimálne funkčné požiadavky podľa článku 42 ods. 3 písm. b).</w:t>
      </w:r>
    </w:p>
    <w:p>
      <w:r>
        <w:t>3. V druhej fáze sa návrhy inovačných riešení hospodárskych subjektov, ktoré úspešne absolvovali posúdenie podľa odseku 2 tohto článku, vyberú podľa kritérií rámca posudzovania hodnoty a bodového hodnotenia uvedeného v článku 42 ods. 3 písm. c) na základe:</w:t>
      </w:r>
    </w:p>
    <w:p>
      <w:r>
        <w:t>a) pozitívne hodnotenie inovačného potenciálu návrhu, ako aj jeho inovačnej kapacity na riešenie spoločenskej výzvy; podielu a</w:t>
      </w:r>
    </w:p>
    <w:p>
      <w:r>
        <w:t>b) pozitívne hodnotenie uskutočniteľnosti a škálovateľnosti návrhu.</w:t>
      </w:r>
    </w:p>
    <w:p>
      <w:r>
        <w:t>Druhá fáza sa môže uskutočniť rozhovorom s hospodárskym subjektom alebo písomnou komunikáciou s hospodárskym subjektom.</w:t>
      </w:r>
    </w:p>
    <w:p>
      <w:r>
        <w:t>4. Ak návrh inovačného riešenia predložený hospodárskym subjektom dosiahne aspoň minimálny celkový počet bodov za celkové pozitívne hodnotenie, tento hospodársky subjekt prejde do ďalšej fázy postupu obstarávania. Obstarávateľ môže obmedziť počet hospodárskych subjektov, ktoré majú pokračovať, ak takýto počet uvedie v podrobnostiach obstarávania; v takom prípade postupujú hospodárske subjekty s najvyšším počtom bodov.</w:t>
      </w:r>
    </w:p>
    <w:p>
      <w:pPr>
        <w:pStyle w:val="Heading3"/>
        <w:jc w:val="center"/>
      </w:pPr>
      <w:r>
        <w:t>Článok 44</w:t>
      </w:r>
    </w:p>
    <w:p>
      <w:pPr>
        <w:pStyle w:val="Heading4"/>
        <w:jc w:val="center"/>
      </w:pPr>
      <w:r>
        <w:t>Testovanie, validácia a posudzovanie návrhov inovačných riešení</w:t>
      </w:r>
    </w:p>
    <w:p>
      <w:r>
        <w:t>1. Obstarávateľ pozve hospodárske subjekty, ktoré sa považujú za oprávnené podľa článku 43, do fázy testovania, validácie a posudzovania.</w:t>
      </w:r>
    </w:p>
    <w:p>
      <w:r>
        <w:t>2. Trvanie tejto fázy nepresiahne dva roky od dátumu výberu návrhov inovačných riešení, pokiaľ to nie je riadne odôvodnené.</w:t>
      </w:r>
    </w:p>
    <w:p>
      <w:r>
        <w:t>3. Pozostáva zo štruktúrovaného a systematického procesu vykonávaného obstarávateľom alebo v jeho mene na základe rámca posudzovania hodnoty na účely celkového posúdenia návrhu, ktoré v relevantných prípadoch zahŕňa:</w:t>
      </w:r>
    </w:p>
    <w:p>
      <w:r>
        <w:t>a) posúdenie technickej, prevádzkovej a funkčnej uskutočniteľnosti návrhu inovačného riešenia pri riešení uvedenej spoločenskej výzvy;</w:t>
      </w:r>
    </w:p>
    <w:p>
      <w:r>
        <w:t>b) overenie súladu návrhu inovačného riešenia s minimálnymi funkčnými požiadavkami a platnými regulačnými rámcami;</w:t>
      </w:r>
    </w:p>
    <w:p>
      <w:r>
        <w:t>c) hodnotenie pridanej hodnoty inovačného návrhu v reálnom alebo simulovanom prostredí;</w:t>
      </w:r>
    </w:p>
    <w:p>
      <w:r>
        <w:t>d) identifikáciu všetkých rizík, obmedzení alebo oblastí, v ktorých je potrebné zlepšenie, pred vykonávaním alebo obstarávaním návrhu inovačného riešenia v plnom rozsahu.</w:t>
      </w:r>
    </w:p>
    <w:p>
      <w:r>
        <w:t>Môže zahŕňať laboratórne testovanie, skúšky v teréne, pilotné nasadenia, zber spätnej väzby od používateľov a porovnávaciu analýzu.</w:t>
      </w:r>
    </w:p>
    <w:p>
      <w:r>
        <w:t>4. Ak právne predpisy Únie poskytujú rámec na posúdenie vhodnosti návrhu inovačného riešenia na riešenie spoločenskej výzvy, obstarávateľ sa opiera o toto posúdenie.</w:t>
      </w:r>
    </w:p>
    <w:p>
      <w:r>
        <w:t>5. Všetky platby za každý vymedzený čiastkový cieľ fázy testovania, validácie a posudzovania musia byť uhradené vopred.</w:t>
      </w:r>
    </w:p>
    <w:p>
      <w:r>
        <w:t>6. Počas tejto fázy môžu hospodárske subjekty prispôsobiť a zlepšiť svoje návrhy s cieľom zabezpečiť súlad s minimálnymi funkčnými požiadavkami a zvýšiť pridanú hodnotu svojho návrhu.</w:t>
      </w:r>
    </w:p>
    <w:p>
      <w:r>
        <w:t>7. Obstarávateľ vykoná záverečné posúdenie vylepšeného návrhu týkajúceho sa súladu s minimálnymi funkčnými požiadavkami a jeho pridanej hodnoty podľa rámca posudzovania hodnoty a minimálnych bodových hodnotení.</w:t>
      </w:r>
    </w:p>
    <w:p>
      <w:r>
        <w:t>8. Záverečné posúdenie, v ktorom sa uvádza kladné alebo záporné rozhodnutie prejsť do fázy zadávania verejnej zákazky, sa uverejní ako verejné zhrnutie výsledkov fázy testovania, validácie a posudzovania.</w:t>
      </w:r>
    </w:p>
    <w:p>
      <w:pPr>
        <w:pStyle w:val="Heading3"/>
        <w:jc w:val="center"/>
      </w:pPr>
      <w:r>
        <w:t>Článok 45</w:t>
      </w:r>
    </w:p>
    <w:p>
      <w:pPr>
        <w:pStyle w:val="Heading4"/>
        <w:jc w:val="center"/>
      </w:pPr>
      <w:r>
        <w:t>Zadanie verejnej zákazky na zavedenie návrhu inovačného riešenia</w:t>
      </w:r>
    </w:p>
    <w:p>
      <w:r>
        <w:t>1. Obstarávateľ zašle výzvu na rokovanie každému hospodárskemu subjektu, ktorý dostal kladné rozhodnutie postupovať podľa článku 44 ods. 8.</w:t>
      </w:r>
    </w:p>
    <w:p>
      <w:r>
        <w:t>2. Okrem ustanovení článku 33 obstarávateľ uvedie štruktúru rokovaní a určí, ako sa rokovania ukončia, vrátane jasnej stratégie ukončenia postupu bez zadania zákazky, a to určením objektívnych kritérií, v prípade ktorých sa rokovania považujú za neúspešné.</w:t>
      </w:r>
    </w:p>
    <w:p>
      <w:r>
        <w:t>3. O opise spoločenskej výzvy, minimálnych funkčných požiadavkách a rámci posudzovania hodnoty sa nerokuje.</w:t>
      </w:r>
    </w:p>
    <w:p>
      <w:r>
        <w:t>4. Rokovania sa zamerajú na zavedenie návrhu inovačného riešenia a môžu okrem iného zahŕňať:</w:t>
      </w:r>
    </w:p>
    <w:p>
      <w:r>
        <w:t>a) rozsah komerčných dodávok;</w:t>
      </w:r>
    </w:p>
    <w:p>
      <w:r>
        <w:t>b) práva na využívanie na širších trhoch;</w:t>
      </w:r>
    </w:p>
    <w:p>
      <w:r>
        <w:t>c) stanovenie cien a konečné objemy obstarávania, ktoré nepresahujú objemy oznámené podľa článku 42 ods. 3 písm. e);</w:t>
      </w:r>
    </w:p>
    <w:p>
      <w:r>
        <w:t>d) budúce modernizačné, údržbárske a servisné podmienky návrhu inovačného riešenia;</w:t>
      </w:r>
    </w:p>
    <w:p>
      <w:r>
        <w:t>e) rozdelenie technických a obchodných rizík pri zavádzaní návrhu inovačného riešenia.</w:t>
      </w:r>
    </w:p>
    <w:p>
      <w:r>
        <w:t>5. V prípade úspešného rokovania s hospodárskym subjektom obstarávateľ zadá verejnú zákazku na zavedenie návrhu riešenia priamo tomuto hospodárskemu subjektu alebo v prípade viacerých úspešných riešení týmto hospodárskym subjektom. Ocenenia sa môžu udeľovať najviac päť rokov po uverejnení kladného rozhodnutia podľa článku 44 ods. 8.</w:t>
      </w:r>
    </w:p>
    <w:p>
      <w:pPr>
        <w:pStyle w:val="Heading2"/>
        <w:jc w:val="center"/>
      </w:pPr>
      <w:r>
        <w:t>Kapitola 5</w:t>
      </w:r>
    </w:p>
    <w:p>
      <w:pPr>
        <w:pStyle w:val="Heading2"/>
        <w:jc w:val="center"/>
      </w:pPr>
      <w:r>
        <w:t>Osobitné postupy a nástroje</w:t>
      </w:r>
    </w:p>
    <w:p>
      <w:pPr>
        <w:pStyle w:val="Heading3"/>
        <w:jc w:val="center"/>
      </w:pPr>
      <w:r>
        <w:t>Článok 46</w:t>
      </w:r>
    </w:p>
    <w:p>
      <w:pPr>
        <w:pStyle w:val="Heading4"/>
        <w:jc w:val="center"/>
      </w:pPr>
      <w:r>
        <w:t>Zákazky, pri ktorých sa vyžaduje len uverejnenie verejného zhrnutia výsledkov</w:t>
      </w:r>
    </w:p>
    <w:p>
      <w:r>
        <w:t>1. V osobitných prípadoch a za osobitných okolností stanovených v článkoch 47 a 48 môžu obstarávatelia použiť osobitný postup na zadanie verejnej zákazky tak, že požiadajú o riešenie priamo jeden alebo viacero hospodárskych subjektov bez toho, aby bolo potrebné súťažné konanie alebo predchádzajúce uverejnenie informácií o ponuke. Táto žiadosť môže mať formu výzvy na rokovanie, žiadosti o predloženie ponuky alebo žiadosti o dodanie riešenia na základe faktúry. Obstarávatelia uverejnia verejné zhrnutie výsledkov podľa článku 110.</w:t>
      </w:r>
    </w:p>
    <w:p>
      <w:r>
        <w:t>2. Zadávanie týchto zákaziek sa riadi zásadami nediskriminácie, rovnakého zaobchádzania a transparentnosti, pričom sa náležite zohľadňujú osobitné potreby a okolnosti obstarávateľov v konkrétnych prípadoch a okolnostiach opísaných v článkoch 47 a 48.</w:t>
      </w:r>
    </w:p>
    <w:p>
      <w:pPr>
        <w:pStyle w:val="Heading3"/>
        <w:jc w:val="center"/>
      </w:pPr>
      <w:r>
        <w:t>Článok 47</w:t>
      </w:r>
    </w:p>
    <w:p>
      <w:pPr>
        <w:pStyle w:val="Heading4"/>
        <w:jc w:val="center"/>
      </w:pPr>
      <w:r>
        <w:t>Podmienky používania zákaziek len s uverejnením verejného zhrnutia výsledkov</w:t>
      </w:r>
    </w:p>
    <w:p>
      <w:r>
        <w:t>Obstarávatelia môžu použiť postup opísaný v článku 46 v ktorejkoľvek z týchto situácií v súlade s medzinárodnými záväzkami Únie:</w:t>
      </w:r>
    </w:p>
    <w:p>
      <w:r>
        <w:t>a) potrebné riešenie môže poskytnúť len konkrétny hospodársky subjekt a neexistuje žiadna primeraná alternatíva alebo náhrada z niektorého z týchto dôvodov:</w:t>
      </w:r>
    </w:p>
    <w:p>
      <w:r>
        <w:t>i) cieľom obstarávania je vytvorenie alebo nadobudnutie jedinečného umeleckého diela alebo umeleckého výkonu;</w:t>
      </w:r>
    </w:p>
    <w:p>
      <w:r>
        <w:t>ii) hospodárska súťaž neexistuje z technických dôvodov, ktoré nemožno pripísať návrhu predchádzajúceho postupu obstarávania alebo umelému zúženiu parametrov obstarávania;</w:t>
      </w:r>
    </w:p>
    <w:p>
      <w:r>
        <w:t>iii) ochrana výlučných práv vrátane práv duševného vlastníctva;</w:t>
      </w:r>
    </w:p>
    <w:p>
      <w:r>
        <w:t>iv) ak by otvorenie zákazky hospodárskej súťaži mohlo negatívne ovplyvniť základné záujmy národnej bezpečnosti Únie alebo členského štátu obstarávateľa a neexistuje možnosť uplatniť menej rušivé opatrenia.</w:t>
      </w:r>
    </w:p>
    <w:p>
      <w:r>
        <w:t>b) v prípade verejných zákaziek na dodanie tovaru, ktoré sa týkajú:</w:t>
      </w:r>
    </w:p>
    <w:p>
      <w:r>
        <w:t>i) dodatočné dodávky pôvodného dodávateľa počas najviac dvoch rokov, ktoré sú určené buď ako čiastočná náhrada dodávok alebo zariadení, alebo ako rozšírenie existujúcich dodávok alebo zariadení, ak by zmena dodávateľa znamenala pre obstarávateľa neprimerané náklady alebo technické ťažkosti;</w:t>
      </w:r>
    </w:p>
    <w:p>
      <w:r>
        <w:t>ii) pre dodávky kótované a nakupované na komoditnom trhu;</w:t>
      </w:r>
    </w:p>
    <w:p>
      <w:r>
        <w:t>iii) na nákup tovaru alebo služieb za mimoriadne výhodných podmienok, ktoré platia len na veľmi krátky čas v prípade nezvyčajného predaja, ako je predaj vyplývajúci z likvidácie alebo insolvenčného konania.</w:t>
      </w:r>
    </w:p>
    <w:p>
      <w:r>
        <w:t>c) v prípade zmlúv o službách vo verejnom záujme, ktoré sa týkajú:</w:t>
      </w:r>
    </w:p>
    <w:p>
      <w:r>
        <w:t>i) administratívne zákazky na poskytnutie sociálnych, vzdelávacích, zdravotníckych a kultúrnych služieb podľa kódov Spoločného slovníka obstarávania (CPV) 79950000 – 8 [Organizovanie výstav, veľtrhov a kongresov], 79951000 – 5 [Služby na organizovanie seminárov], 79952000 – 2 [Služby na organizovanie podujatí], 79952100 – 3 [Služby na organizovanie kultúrnych podujatí], 79953000 – 9 [Služby na organizovanie festivalov], 79954000 – 6 [Služby na organizovanie strán], 79955000 – 3 [Služby na organizovanie módnych prehliadok], 79956000 – 0 [Služby na organizovanie veľtrhov a výstav], 92100000 – 2 [Služby na organizovanie obrázkov a videozáznamov], 92200000 – 3 [Služby rozhlasových a televíznych programov], 92400000 – 5 [Služby spravodajských agentúr];</w:t>
      </w:r>
    </w:p>
    <w:p>
      <w:r>
        <w:t>ii) Hotelové a reštauračné služby pod CPV 55100000 – 1 až 55410000 – 7; 55521000 – 8 až 55521200 – 0 [55521000 – 8 Služby hromadného stravovania pre súkromné domácnosti, 55521100 – 9 Služby doručovania jedla, 55521200 – 0 Služby doručovania jedla], 55520000 – 1 Služby hromadného stravovania, 55522000 – 5 Služby hromadného stravovania pre dopravné podniky, 55523000 – 2 Služby hromadného stravovania pre iné podniky alebo iné inštitúcie, 55524000 – 9 Služby školského stravovania, 55510000 – 8 Služby jedální, 55511000 – 5 Kaviarne a iné obmedzené služby zákazníkom, 55512000 – 2 Služby riadenia jedální, 55523100 – 3 Služby školského stravovania.</w:t>
      </w:r>
    </w:p>
    <w:p>
      <w:pPr>
        <w:pStyle w:val="Heading3"/>
        <w:jc w:val="center"/>
      </w:pPr>
      <w:r>
        <w:t>Článok 48</w:t>
      </w:r>
    </w:p>
    <w:p>
      <w:pPr>
        <w:pStyle w:val="Heading4"/>
        <w:jc w:val="center"/>
      </w:pPr>
      <w:r>
        <w:t>Núdzová situácia a kríza</w:t>
      </w:r>
    </w:p>
    <w:p>
      <w:r>
        <w:t>1. Obstarávatelia môžu využiť postup opísaný v článku 46, ak z dôvodov mimoriadnej naliehavosti, ktorú nemožno pripísať obstarávateľovi, nie je možné dodržať lehoty pre postupy uvedené v tomto nariadení.</w:t>
      </w:r>
    </w:p>
    <w:p>
      <w:r>
        <w:t>2. Bez toho, aby boli dotknuté akékoľvek činnosti spoločného obstarávania organizované inštitúciami, orgánmi, úradmi a agentúrami Únie, pri ktorých bol aktivovaný núdzový režim podľa nariadenia (EÚ) 2024/2747[45], bol aktivovaný núdzový rámec podľa nariadenia Rady (EÚ) 2022/2372[46], existujú závažné cezhraničné ohrozenia zdravia podľa nariadenia (EÚ) 2022/2371[47] alebo Komisia vyhlásila krízový stav alebo núdzový stav, sa podmienka stanovená v odseku 1 považuje za splnenú pre daný druh riešení, a to dovtedy, kým existuje núdzový stav alebo závažné cezhraničné ohrozenie.</w:t>
      </w:r>
    </w:p>
    <w:p>
      <w:r>
        <w:rPr>
          <w:sz w:val="16"/>
        </w:rPr>
        <w:t>45 Nariadenie Európskeho parlamentu a Rady (EÚ) 2024/2747 z 9. októbra 2024, ktorým sa stanovuje rámec opatrení týkajúcich sa núdzovej situácie na vnútornom trhu a jeho odolnosti a ktorým sa mení nariadenie Rady (ES) č. 2679/98 (akt o núdzovej situácii na vnútornom trhu a jeho odolnosti) (Ú. v. EÚ L, 2024/2747, 8.11.2024, ELI: http://data.europa.eu/eli/reg/2024/2747/oj).</w:t>
      </w:r>
    </w:p>
    <w:p>
      <w:r>
        <w:rPr>
          <w:sz w:val="16"/>
        </w:rPr>
        <w:t>46 Nariadenie Rady (EÚ) 2022/2372 z 24. októbra 2022 o rámci opatrení na zabezpečenie dodávok prostriedkov zdravotníckych protiopatrení dôležitých v krízovej situácii v prípade núdzovej situácie v oblasti verejného zdravia na úrovni Únie (Ú. v. EÚ L 314, 6.12.2022, s. 64, ELI: http://data.europa.eu/eli/reg/2022/2372/oj).</w:t>
      </w:r>
    </w:p>
    <w:p>
      <w:r>
        <w:rPr>
          <w:sz w:val="16"/>
        </w:rPr>
        <w:t>47 Nariadenie Európskeho parlamentu a Rady (EÚ) 2022/2371 z 23. novembra 2022 o závažných cezhraničných ohrozeniach zdravia, ktorým sa zrušuje rozhodnutie č. 1082/2013/EÚ (Ú. v. EÚ L 314, 6.12.2022, s. 26, ELI: http://data.europa.eu/eli/reg/2022/2371/oj).</w:t>
      </w:r>
    </w:p>
    <w:p>
      <w:pPr>
        <w:pStyle w:val="Heading3"/>
        <w:jc w:val="center"/>
      </w:pPr>
      <w:r>
        <w:t>Článok 49</w:t>
      </w:r>
    </w:p>
    <w:p>
      <w:pPr>
        <w:pStyle w:val="Heading4"/>
        <w:jc w:val="center"/>
      </w:pPr>
      <w:r>
        <w:t>Kvalifikačný zoznam pre sektorových obstarávateľov</w:t>
      </w:r>
    </w:p>
    <w:p>
      <w:r>
        <w:t>1. Sektoroví obstarávatelia môžu vytvoriť a prevádzkovať kvalifikačný zoznam. Na jeho základe môžu zadávať individuálne zákazky.</w:t>
      </w:r>
    </w:p>
    <w:p>
      <w:r>
        <w:t>2. Sektoroví obstarávatelia uverejnia verejné zhrnutie súťaže podľa článku 110 o existencii kvalifikačného zoznamu. Zabezpečia, aby hospodárske subjekty mohli kedykoľvek požiadať o zaradenie do zoznamu počas jeho trvania uvedeného vo verejnom zhrnutí hospodárskej súťaže.</w:t>
      </w:r>
    </w:p>
    <w:p>
      <w:r>
        <w:t>3. Sektoroví obstarávatelia stanovia objektívne pravidlá a kritériá na zaradenie hospodárskych subjektov do kvalifikačného zoznamu a objektívne kritériá a pravidlá na vedenie kvalifikačného zoznamu, ktoré sa vzťahujú na záležitosti, ako je prijatie, pravidelná aktualizácia kvalifikácií, ak existujú, a trvanie. Kvalifikačný zoznam môžu rozdeliť do rôznych kategórií podľa predmetu jednotlivých zákaziek na základe kvalifikačného zoznamu.</w:t>
      </w:r>
    </w:p>
    <w:p>
      <w:r>
        <w:t>4. Pravidlá a kritériá na zaradenie do kvalifikačného zoznamu zahŕňajú kritériá vylúčenia podľa článku 25 a môžu sa týkať kritérií vylúčenia podľa článku 26, podmienok účasti podľa článku 27 a špecifikácií podľa článku 88. Sektoroví obstarávatelia uplatňujú pravidlá o dôkazných prostriedkoch uvedené v článkoch 28, 91 a 92. Sektoroví obstarávatelia zabezpečia, aby sa na zaradenie do zoznamu a prípadne na zadávanie jednotlivých zákaziek uplatňovali ustanovenia hlavy II tejto časti.</w:t>
      </w:r>
    </w:p>
    <w:p>
      <w:r>
        <w:t>5. Sektoroví obstarávatelia zadávajúci zákazky na základe kvalifikačného zoznamu vyzvú hospodárske subjekty prijaté do kvalifikačného zoznamu alebo do jeho príslušných kategórií, aby predložili ponuku. Sektoroví obstarávatelia môžu viesť rokovania podľa článku 33, po ktorých nasleduje zadanie zákazky podľa článku 98, alebo zadať zákazku bez rokovaní podľa článku 98. Zverejnia verejné zhrnutie výsledkov podľa článku 110 v súvislosti s každou zadanou jednotlivou zákazkou.</w:t>
      </w:r>
    </w:p>
    <w:p>
      <w:r>
        <w:t>6. Proces zaraďovania do kvalifikačného zoznamu a zadávania jednotlivých zákaziek na základe systému sa môže uskutočniť v niekoľkých po sebe nasledujúcich fázach.</w:t>
      </w:r>
    </w:p>
    <w:p>
      <w:r>
        <w:t>7. Všetky poplatky, ktoré sa účtujú v súvislosti s kvalifikáciou alebo aktualizáciou či zachovaním už získanej kvalifikácie, musia byť úmerné vzniknutým nákladom.</w:t>
      </w:r>
    </w:p>
    <w:p>
      <w:pPr>
        <w:pStyle w:val="Heading2"/>
        <w:jc w:val="center"/>
      </w:pPr>
      <w:r>
        <w:t>Hlava II</w:t>
      </w:r>
    </w:p>
    <w:p>
      <w:pPr>
        <w:pStyle w:val="Heading2"/>
        <w:jc w:val="center"/>
      </w:pPr>
      <w:r>
        <w:t>Strategický návrh a vykonávanie verejného obstarávania</w:t>
      </w:r>
    </w:p>
    <w:p>
      <w:pPr>
        <w:pStyle w:val="Heading2"/>
        <w:jc w:val="center"/>
      </w:pPr>
      <w:r>
        <w:t>Kapitola 1</w:t>
      </w:r>
    </w:p>
    <w:p>
      <w:pPr>
        <w:pStyle w:val="Heading2"/>
        <w:jc w:val="center"/>
      </w:pPr>
      <w:r>
        <w:t>Zelené verejné obstarávanie</w:t>
      </w:r>
    </w:p>
    <w:p>
      <w:pPr>
        <w:pStyle w:val="Heading3"/>
        <w:jc w:val="center"/>
      </w:pPr>
      <w:r>
        <w:t>Článok 50</w:t>
      </w:r>
    </w:p>
    <w:p>
      <w:pPr>
        <w:pStyle w:val="Heading4"/>
        <w:jc w:val="center"/>
      </w:pPr>
      <w:r>
        <w:t>Zelené verejné obstarávanie</w:t>
      </w:r>
    </w:p>
    <w:p>
      <w:r>
        <w:t>1. Obstarávatelia môžu pri obstarávaní výrobkov, služieb a prác zohľadniť environmentálne a klimatické aspekty s cieľom predchádzať nepriaznivým vplyvom na životné prostredie a klímu, znižovať ich alebo ich inak zmierňovať alebo presadzovať pozitívne vplyvy na životné prostredie a klímu počas celého ich životného cyklu v porovnaní s alternatívnymi výrobkami, službami a prácami s rovnakou primárnou funkciou (ďalej len „zelené verejné obstarávanie“).</w:t>
      </w:r>
    </w:p>
    <w:p>
      <w:r>
        <w:t>2. Environmentálne aspekty uvedené v odseku 1 podporujú dosiahnutie environmentálnych a klimatických cieľov uvedených v článku 5 vrátane:</w:t>
      </w:r>
    </w:p>
    <w:p>
      <w:r>
        <w:t>a) zmierňovanie zmeny klímy vrátane znižovania emisií;</w:t>
      </w:r>
    </w:p>
    <w:p>
      <w:r>
        <w:t>b) odolnosť proti zmene klímy a adaptácia na zmenu klímy;</w:t>
      </w:r>
    </w:p>
    <w:p>
      <w:r>
        <w:t>c) udržateľné využívanie a ochrana vodných a morských zdrojov;</w:t>
      </w:r>
    </w:p>
    <w:p>
      <w:r>
        <w:t>d) prechod na obehové hospodárstvo, a to aj prostredníctvom biohospodárstva;</w:t>
      </w:r>
    </w:p>
    <w:p>
      <w:r>
        <w:t>e) prevencia a kontrola znečisťovania;</w:t>
      </w:r>
    </w:p>
    <w:p>
      <w:r>
        <w:t>f) ochrana a obnova biodiverzity a ekosystémov.</w:t>
      </w:r>
    </w:p>
    <w:p>
      <w:r>
        <w:t>3. Obstarávatelia môžu náležite zohľadniť takéto environmentálne a klimatické aspekty v špecifikáciách, kritériách na vyhodnotenie ponúk, doložkách o plnení zákazky alebo kritériách výberu v súlade so zásadami stanovenými v článku 4 a ak súvisia s predmetom zákazky podľa článku 90.</w:t>
      </w:r>
    </w:p>
    <w:p>
      <w:r>
        <w:t>4. Samotné dodržiavanie všeobecných minimálnych environmentálnych záväzkov stanovených v práve Únie, vnútroštátnom práve alebo medzinárodných dohovoroch uvedených v prílohe II sa na účely tohto nariadenia samo osebe nepovažuje za „zelené verejné obstarávanie“.</w:t>
      </w:r>
    </w:p>
    <w:p>
      <w:r>
        <w:t>Naopak, verejné obstarávanie, ktoré zahŕňa osobitné environmentálne kritériá alebo požiadavky verejného obstarávania stanovené podľa tohto nariadenia alebo iných príslušných právnych predpisov Únie, sa považuje za „zelené verejné obstarávanie“ v zmysle odseku 1.</w:t>
      </w:r>
    </w:p>
    <w:p>
      <w:pPr>
        <w:pStyle w:val="Heading3"/>
        <w:jc w:val="center"/>
      </w:pPr>
      <w:r>
        <w:t>Článok 51</w:t>
      </w:r>
    </w:p>
    <w:p>
      <w:pPr>
        <w:pStyle w:val="Heading4"/>
        <w:jc w:val="center"/>
      </w:pPr>
      <w:r>
        <w:t>Obehové hospodárstvo a efektívne využívanie zdrojov</w:t>
      </w:r>
    </w:p>
    <w:p>
      <w:r>
        <w:t>Obstarávatelia môžu stanoviť špecifikácie, podmienky účasti, kritériá na vyhodnotenie ponúk alebo podmienky plnenia zákaziek, ktoré v súlade s cieľom vysokej úrovne ochrany životného prostredia podporujú obehovosť a efektívne využívanie zdrojov počas celého životného cyklu prác, výrobkov a služieb. Takéto požiadavky alebo kritériá sa môžu v prípade potreby týkať trvanlivosti, opraviteľnosti, modernizovateľnosti, opätovného použitia, renovovania, repasovania recyklovaného obsahu, používania druhotných surovín, predchádzania vzniku odpadu, prípravy na opätovné použitie alebo obstarávania renovovaných, repasovaných alebo predtým použitých výrobkov. Obstarávatelia môžu namiesto nákupu nových výrobkov zvážiť aj obehové obchodné modely vrátane riešenia „produkt ako služba“, lízingu, spoločného využívania alebo prenájmu.</w:t>
      </w:r>
    </w:p>
    <w:p>
      <w:pPr>
        <w:pStyle w:val="Heading3"/>
        <w:jc w:val="center"/>
      </w:pPr>
      <w:r>
        <w:t>Článok 52</w:t>
      </w:r>
    </w:p>
    <w:p>
      <w:pPr>
        <w:pStyle w:val="Heading4"/>
        <w:jc w:val="center"/>
      </w:pPr>
      <w:r>
        <w:t>Energetická efektívnosť</w:t>
      </w:r>
    </w:p>
    <w:p>
      <w:r>
        <w:t>1. Obstarávatelia pri nákupe tovaru, služieb alebo prác nakupujú len výrobky, služby a práce s vysokou energetickou efektívnosťou, pokiaľ to nie je technicky nerealizovateľné. Na tento účel:</w:t>
      </w:r>
    </w:p>
    <w:p>
      <w:r>
        <w:t>a) ak sa na výrobok vzťahuje delegovaný akt prijatý podľa nariadenia (EÚ) 2017/1369[48], smernice 2010/30/EÚ[49] alebo súvisiaci vykonávací akt Komisie, obstarávať len výrobky, ktoré spĺňajú kritérium stanovené v článku 7 ods. 2 nariadenia (EÚ) 2017/1369;</w:t>
      </w:r>
    </w:p>
    <w:p>
      <w:r>
        <w:t>b) ak sa na výrobok, na ktorý sa nevzťahuje písmeno a), vzťahuje vykonávacie opatrenie podľa smernice 2009/125/ES[50], obstarávajú len výrobky, ktoré sú v súlade s referenčnými hodnotami energetickej efektívnosti stanovenými vo vykonávacom opatrení podľa smernice 2009/125/ES;</w:t>
      </w:r>
    </w:p>
    <w:p>
      <w:r>
        <w:t>c) vo svojich ponukách na zákazky na poskytnutie služieb vyžadovať, aby poskytovatelia služieb pri poskytovaní predmetných služieb používali len produkty, ktoré sú v súlade s písmenami a) a b). Táto požiadavka sa uplatňuje len na nové produkty, ktoré poskytovatelia služieb obstarali čiastočne alebo úplne na účely poskytovania predmetnej služby;</w:t>
      </w:r>
    </w:p>
    <w:p>
      <w:r>
        <w:t>d) pri kúpe budov alebo uzatváraní nových nájomných zmlúv na budovy zabezpečia, aby takáto budova, ak je k dispozícii, spĺňala aspoň technické kritériá preskúmania týkajúce sa významného prínosu k zmierneniu zmeny klímy stanovené v delegovanom nariadení Komisie (EÚ) 2021/2139[51], oddiele 7.7 prílohy I („Nadobudnutie a vlastníctvo budov“), pokiaľ účelom kúpy nie je:</w:t>
      </w:r>
    </w:p>
    <w:p>
      <w:r>
        <w:t>i) vykonať hĺbkovú obnovu alebo demoláciu;</w:t>
      </w:r>
    </w:p>
    <w:p>
      <w:r>
        <w:t>ii) zachovať ju ako budovu úradne chránenú ako súčasť označeného prostredia alebo pre jej osobitnú architektonickú alebo historickú hodnotu.</w:t>
      </w:r>
    </w:p>
    <w:p>
      <w:r>
        <w:t>Článok 85 ods. 1 písm. d) sa neuplatňuje na povinnosti stanovené v prvom pododseku písm. d).</w:t>
      </w:r>
    </w:p>
    <w:p>
      <w:r>
        <w:t>2. Ak sa nákup týka balíka výrobkov, na ktorý sa v plnej miere vzťahuje delegovaný akt prijatý podľa nariadenia (EÚ) 2017/1369, obstarávatelia môžu požadovať, aby súhrnná energetická účinnosť balíka výrobkov mala prednosť pred energetickou účinnosťou jednotlivých výrobkov v rámci daného balíka, a to tak, že zakúpia balík výrobkov, ktorý spĺňa kritérium najvyššej dostupnej triedy energetickej účinnosti.</w:t>
      </w:r>
    </w:p>
    <w:p>
      <w:r>
        <w:rPr>
          <w:sz w:val="16"/>
        </w:rPr>
        <w:t>48 Nariadenie Európskeho parlamentu a Rady (EÚ) 2017/1369 zo 4. júla 2017, ktorým sa stanovuje rámec pre energetické označovanie a zrušuje smernica 2010/30/EÚ (Ú. v. EÚ L 198, 28.7.2017, s. 1, ELI: http://data.europa.eu/eli/reg/2017/1369/oj).</w:t>
      </w:r>
    </w:p>
    <w:p>
      <w:r>
        <w:rPr>
          <w:sz w:val="16"/>
        </w:rPr>
        <w:t>49 Smernica Európskeho parlamentu a Rady 2010/30/EÚ z 19. mája 2010 o udávaní spotreby energie a iných zdrojov energeticky významnými výrobkami na štítkoch a štandardných informáciách o výrobkoch (prepracované znenie) (Ú. v. EÚ L 153, 18.6.2010, s. 1, ELI: http://data.europa.eu/eli/dir/2010/30/oj).</w:t>
      </w:r>
    </w:p>
    <w:p>
      <w:r>
        <w:rPr>
          <w:sz w:val="16"/>
        </w:rPr>
        <w:t>50 Smernica Európskeho parlamentu a Rady 2009/125/ES z 21. októbra 2009 o vytvorení rámca na stanovenie požiadaviek na ekodizajn energeticky významných výrobkov (prepracované znenie) (Ú. v. EÚ L 285, 31.10.2009, s. 10, ELI: http://data.europa.eu/eli/dir/2009/125/oj).</w:t>
      </w:r>
    </w:p>
    <w:p>
      <w:r>
        <w:rPr>
          <w:sz w:val="16"/>
        </w:rPr>
        <w:t>51 Delegované nariadenie Komisie (EÚ) 2021/2139 zo 4. júna 2021, ktorým sa dopĺňa nariadenie Európskeho parlamentu a Rady (EÚ) 2020/852 stanovením technických kritérií preskúmania na určenie podmienok, za ktorých sa hospodárska činnosť označuje za významne prispievajúcu k zmierneniu zmeny klímy alebo adaptácii na zmenu klímy, a na určenie toho, či daná hospodárska činnosť výrazne nenarúša plnenie niektorého z iných environmentálnych cieľov (Ú. v. EÚ L 442, 9.12.2021, s. 1, ELI: http://data.europa.eu/eli/reg_del/2021/2139/oj).</w:t>
      </w:r>
    </w:p>
    <w:p>
      <w:pPr>
        <w:pStyle w:val="Heading3"/>
        <w:jc w:val="center"/>
      </w:pPr>
      <w:r>
        <w:t>Článok 53</w:t>
      </w:r>
    </w:p>
    <w:p>
      <w:pPr>
        <w:pStyle w:val="Heading4"/>
        <w:jc w:val="center"/>
      </w:pPr>
      <w:r>
        <w:t>Obstarávanie potravín</w:t>
      </w:r>
    </w:p>
    <w:p>
      <w:r>
        <w:t>1. Na účely plnenia cieľov stanovených v článku 50 ods. 2 a článku 55 ods. 2 môžu obstarávatelia pri obstarávaní potravín podľa potreby zohľadniť aj aspekty týkajúce sa kvality a udržateľnosti potravín, a to v špecifikáciách, kritériách na vyhodnotenie ponúk alebo podmienkach plnenia zákaziek, pokiaľ sa týkajú predmetu zákazky.</w:t>
      </w:r>
    </w:p>
    <w:p>
      <w:r>
        <w:t>2. Aspekty týkajúce sa konkrétnych potravín uvedené v odseku 1 sa môžu vzťahovať najmä na:</w:t>
      </w:r>
    </w:p>
    <w:p>
      <w:r>
        <w:t>a) spravodlivosť a transparentnosť požiadaviek a podmienok potravinových dodávateľských reťazcov, najmä spravodlivé odmeňovanie poľnohospodárov zapojených do výroby obstarávaných potravín;</w:t>
      </w:r>
    </w:p>
    <w:p>
      <w:r>
        <w:t>b) organizácia potravinového dodávateľského reťazca;</w:t>
      </w:r>
    </w:p>
    <w:p>
      <w:r>
        <w:t>c) požiadavky alebo podmienky týkajúce sa metód ekologickej výroby, systémov kvality, ako sú zemepisné označenia, a iných výrobných metód;</w:t>
      </w:r>
    </w:p>
    <w:p>
      <w:r>
        <w:t>d) výživová hodnota a účinky na zdravie, čerstvosť a sezónnosť potravín;</w:t>
      </w:r>
    </w:p>
    <w:p>
      <w:r>
        <w:t>e) požiadavky na dobré životné podmienky zvierat.</w:t>
      </w:r>
    </w:p>
    <w:p>
      <w:pPr>
        <w:pStyle w:val="Heading3"/>
        <w:jc w:val="center"/>
      </w:pPr>
      <w:r>
        <w:t>Článok 54</w:t>
      </w:r>
    </w:p>
    <w:p>
      <w:pPr>
        <w:pStyle w:val="Heading4"/>
        <w:jc w:val="center"/>
      </w:pPr>
      <w:r>
        <w:t>Požiadavky na zelené verejné obstarávanie určitých výrobkov</w:t>
      </w:r>
    </w:p>
    <w:p>
      <w:r>
        <w:t>1. Obstarávatelia pri nákupe výrobkov, skupín výrobkov alebo technológií, na ktoré sa vzťahujú právne akty Únie uvedené v prílohe VII, vyžadujú v špecifikáciách, kritériách na vyhodnotenie ponúk alebo podmienkach plnenia zákaziek také environmentálne vlastnosti, ktoré považujú za vhodné pre dané obstarávanie vzhľadom na cieľ zabezpečiť vysokú úroveň ochrany životného prostredia v Únii, potrebu rýchleho prechodu na klimaticky neutrálne hospodárstvo a zásady rovnakého zaobchádzania, nediskriminácie a proporcionality. Tieto environmentálne vlastnosti sa vyjadrujú ako triedy alebo úrovne parametrov, prahové hodnoty, environmentálne aspekty alebo požiadavky na environmentálnu udržateľnosť, ktoré sú stanovené v príslušných právnych aktoch uvedených v prílohe VII.</w:t>
      </w:r>
    </w:p>
    <w:p>
      <w:r>
        <w:t>2. Ak rozdielne požiadavky na environmentálne vlastnosti vytvárajú skutočné riziko fragmentácie vnútorného trhu alebo ak existuje potreba podporiť dopyt po výrobkoch uvedených v právnych aktoch Únie uvedených v prílohe VII, Komisia je splnomocnená prijímať delegované akty v súlade s článkom 141 s cieľom doplniť toto nariadenie špecifikovaním environmentálnych vlastností uvedených v odseku 1, ktoré obstarávatelia vyžadujú v špecifikáciách, kritériách na vyhodnotenie ponúk alebo podmienkach plnenia zákaziek v súvislosti s výrobkami, skupinami výrobkov alebo technológiami, na ktoré sa vzťahujú právne akty Únie uvedené v prílohe VII.</w:t>
      </w:r>
    </w:p>
    <w:p>
      <w:r>
        <w:t>Komisia pri prijímaní delegovaných aktov podľa prvého pododseku stanoví požiadavky na vysokej úrovni, pričom zohľadní:</w:t>
      </w:r>
    </w:p>
    <w:p>
      <w:r>
        <w:t>a) hodnotu a objem verejných zákaziek zadaných na predmetné výrobky, skupiny výrobkov alebo technológie alebo na služby alebo práce, ktoré ich využívajú, na činnosti, ktoré sú predmetom zákazky;</w:t>
      </w:r>
    </w:p>
    <w:p>
      <w:r>
        <w:t>b) potreba zabezpečiť dostatočný dopyt po environmentálne udržateľnejších a nízkouhlíkových výrobkoch alebo technológiách;</w:t>
      </w:r>
    </w:p>
    <w:p>
      <w:r>
        <w:t>c) ekonomickú uskutočniteľnosť obstarávateľov nakupovať environmentálne udržateľnejšie výrobky alebo technológie bez neprimeraných nákladov a dostupnosť takýchto výrobkov alebo technológií na trhu;</w:t>
      </w:r>
    </w:p>
    <w:p>
      <w:r>
        <w:t>d) účinky požiadaviek na hospodársku súťaž.</w:t>
      </w:r>
    </w:p>
    <w:p>
      <w:r>
        <w:t>3. Obstarávatelia sa môžu rozhodnúť, že nebudú vyžadovať vlastnosti uvedené v delegovaných aktoch prijatých podľa odseku 2, ak:</w:t>
      </w:r>
    </w:p>
    <w:p>
      <w:r>
        <w:t>a) výrobok alebo technológiu môže dodať len konkrétny hospodársky subjekt a neexistuje žiadna primeraná alternatíva alebo náhrada a absencia hospodárskej súťaže nie je výsledkom umelého zúženia parametrov postupu verejného obstarávania; alebo</w:t>
      </w:r>
    </w:p>
    <w:p>
      <w:r>
        <w:t>b) uplatňovaním delegovaného aktu by sa obstarávateľovi uložila povinnosť nadobudnúť zariadenie za neprimerané náklady alebo by to viedlo k technickej nezlučiteľnosti pri prevádzke a údržbe.</w:t>
      </w:r>
    </w:p>
    <w:p>
      <w:r>
        <w:t>4. Ak sa prijmú nové právne akty Únie, ktorými sa stanovia požiadavky na environmentálnu udržateľnosť a klimatické požiadavky na uvádzanie výrobkov alebo technológií na trh v Únii, Komisia je splnomocnená prijímať delegované akty v súlade s článkom 141 s cieľom zmeniť prílohu VII aktualizáciou zoznamu právnych aktov Únie uvedených v danej prílohe.</w:t>
      </w:r>
    </w:p>
    <w:p>
      <w:pPr>
        <w:pStyle w:val="Heading2"/>
        <w:jc w:val="center"/>
      </w:pPr>
      <w:r>
        <w:t>Kapitola 2</w:t>
      </w:r>
    </w:p>
    <w:p>
      <w:pPr>
        <w:pStyle w:val="Heading2"/>
        <w:jc w:val="center"/>
      </w:pPr>
      <w:r>
        <w:t>Sociálne zodpovedné verejné obstarávanie</w:t>
      </w:r>
    </w:p>
    <w:p>
      <w:pPr>
        <w:pStyle w:val="Heading3"/>
        <w:jc w:val="center"/>
      </w:pPr>
      <w:r>
        <w:t>Článok 55</w:t>
      </w:r>
    </w:p>
    <w:p>
      <w:pPr>
        <w:pStyle w:val="Heading4"/>
        <w:jc w:val="center"/>
      </w:pPr>
      <w:r>
        <w:t>Sociálne zodpovedné verejné obstarávanie</w:t>
      </w:r>
    </w:p>
    <w:p>
      <w:r>
        <w:t>1. Obstarávatelia môžu pri obstarávaní tovaru, služieb a prác zohľadniť sociálne aspekty s cieľom dosiahnuť pozitívne sociálne výsledky alebo predchádzať nepriaznivým sociálnym vplyvom alebo ich zmierňovať počas životného cyklu tovaru, služieb a prác (ďalej len „sociálne zodpovedné verejné obstarávanie“).</w:t>
      </w:r>
    </w:p>
    <w:p>
      <w:r>
        <w:t>2. Sociálne aspekty uvedené v odseku 1 sledujú sociálne ciele Únie, najmä ciele uvedené v článku 5, ktoré môžu zahŕňať:</w:t>
      </w:r>
    </w:p>
    <w:p>
      <w:r>
        <w:t>a) sociálne začlenenie a integrácia osôb so zdravotným postihnutím a znevýhodnených osôb zapojených do plnenia danej verejnej zákazky do trhu práce;</w:t>
      </w:r>
    </w:p>
    <w:p>
      <w:r>
        <w:t>b) kvalitné pracovné miesta, a to aj uznaním úlohy kolektívneho vyjednávania, s prihliadnutím na rozmanitosť vnútroštátnych systémov a pri rešpektovaní autonómie sociálnych partnerov, a zlepšenie pracovných podmienok pracovníkov vykonávajúcich danú verejnú zákazku, a najmä zraniteľných kategórií pracovníkov;</w:t>
      </w:r>
    </w:p>
    <w:p>
      <w:r>
        <w:t>c) prístupnosť pre osoby so zdravotným postihnutím a dizajn pre všetky prístupy nad rámec právnych požiadaviek stanovených v článku 56 tohto nariadenia;</w:t>
      </w:r>
    </w:p>
    <w:p>
      <w:r>
        <w:t>d) odborná príprava, zvyšovanie úrovne zručností a rekvalifikácia pracovníkov vykonávajúcich danú verejnú zákazku;</w:t>
      </w:r>
    </w:p>
    <w:p>
      <w:r>
        <w:t>e) opatrenia v oblasti rodovej rovnosti a nediskriminácie pre pracovníkov, ktorí vykonávajú danú verejnú zákazku;</w:t>
      </w:r>
    </w:p>
    <w:p>
      <w:r>
        <w:t>f) podpora sociálneho hospodárstva a prípadne sociálneho a cenovo dostupného bývania;</w:t>
      </w:r>
    </w:p>
    <w:p>
      <w:r>
        <w:t>g) účinnú ochranu ľudských práv v dodávateľských reťazcoch relevantných pre dané obstarávanie.</w:t>
      </w:r>
    </w:p>
    <w:p>
      <w:r>
        <w:t>3. Obstarávatelia môžu podľa potreby zohľadniť takéto sociálne aspekty prostredníctvom kritérií alebo požiadaviek v špecifikáciách, kritériách na vyhodnotenie ponúk, podmienkach plnenia zákaziek alebo, ak je to relevantné vzhľadom na predmet zákazky, výberových kritériách za predpokladu, že súvisia s predmetom zákazky podľa článku 90 a sú v súlade so zásadami transparentnosti, nediskriminácie a proporcionality.</w:t>
      </w:r>
    </w:p>
    <w:p>
      <w:r>
        <w:t>4. Samotné dodržiavanie povinností v oblasti pracovného a sociálneho práva stanovených právom Únie, vnútroštátnym právom, kolektívnymi zmluvami alebo medzinárodnými dohovormi v oblasti sociálneho a pracovného práva uvedenými v prílohe II sa samo osebe nepovažuje za sociálne zodpovedné verejné obstarávanie.</w:t>
      </w:r>
    </w:p>
    <w:p>
      <w:pPr>
        <w:pStyle w:val="Heading3"/>
        <w:jc w:val="center"/>
      </w:pPr>
      <w:r>
        <w:t>Článok 56</w:t>
      </w:r>
    </w:p>
    <w:p>
      <w:pPr>
        <w:pStyle w:val="Heading4"/>
        <w:jc w:val="center"/>
      </w:pPr>
      <w:r>
        <w:t>Prístupnosť</w:t>
      </w:r>
    </w:p>
    <w:p>
      <w:r>
        <w:t>1. Pri každom obstarávaní tovaru, služieb a prác, ktoré sú určené na použitie fyzickými osobami, či už širokou verejnosťou alebo zamestnancami obstarávateľa, obstarávatelia s výnimkou riadne odôvodnených prípadov vyžadujú ich prístupnosť pre osoby so zdravotným postihnutím a zohľadňujú dizajn pre všetky prístupy. Na tento účel obstarávatelia zahrnú do špecifikácií alebo podmienok plnenia zákaziek primerané požiadavky na prístupnosť.</w:t>
      </w:r>
    </w:p>
    <w:p>
      <w:r>
        <w:t>2. V prípade výrobkov a služieb uvedených v článku 2 smernice (EÚ) 2019/882 obstarávatelia stanovia špecifikácie, pokiaľ ide o kritériá prístupnosti pre osoby so zdravotným postihnutím alebo dizajn pre všetkých používateľov, odkazom na prílohu I k uvedenej smernici.</w:t>
      </w:r>
    </w:p>
    <w:p>
      <w:pPr>
        <w:pStyle w:val="Heading3"/>
        <w:jc w:val="center"/>
      </w:pPr>
      <w:r>
        <w:t>Článok 57</w:t>
      </w:r>
    </w:p>
    <w:p>
      <w:pPr>
        <w:pStyle w:val="Heading4"/>
        <w:jc w:val="center"/>
      </w:pPr>
      <w:r>
        <w:t>Vyhradené zákazky</w:t>
      </w:r>
    </w:p>
    <w:p>
      <w:r>
        <w:t>1. Obstarávatelia môžu vyhradiť účasť na postupoch zadávania verejných zákaziek, a to aj na ich konkrétne časti, organizáciám, ktorých hlavným cieľom je sociálna a profesionálna integrácia osôb so zdravotným postihnutím alebo znevýhodnených osôb, za predpokladu, že aspoň 30 % zamestnancov týchto organizácií alebo programov sú pracovníci so zdravotným postihnutím alebo so znevýhodnením, vrátane zabezpečenia toho, aby sa takéto zákazky plnili v kontexte podporovaných pracovných zmlúv alebo programov chránených pracovných miest, za predpokladu, že sú chránené pracovné práva osôb so zdravotným postihnutím alebo so znevýhodnením.</w:t>
      </w:r>
    </w:p>
    <w:p>
      <w:r>
        <w:t>2. Obstarávatelia môžu vyhradiť účasť na postupoch zadávania verejných zákaziek na služby, ktoré sú súčasťou systému sociálneho zabezpečenia a na ktoré sa vzťahujú kódy CPV uvedené v prílohe VI, a to aj na ich konkrétne časti, organizáciám, ktoré spĺňajú všetky tieto podmienky:</w:t>
      </w:r>
    </w:p>
    <w:p>
      <w:r>
        <w:t>a) organizácia je právne uznaná za neziskovú podľa vnútroštátneho práva členského štátu, v ktorom bola zriadená;</w:t>
      </w:r>
    </w:p>
    <w:p>
      <w:r>
        <w:t>b) hlavným účelom organizácie je poskytovanie verejnoprospešných služieb všeobecného záujmu;</w:t>
      </w:r>
    </w:p>
    <w:p>
      <w:r>
        <w:t>c) rozhodnutia organizácie sa neriadia čisto komerčnými úvahami a akýkoľvek prebytok vytvorený pri plnení zákazky sa opätovne investuje do poskytovania verejnoprospešných služieb všeobecného záujmu, pre ktoré je zriadená.</w:t>
      </w:r>
    </w:p>
    <w:p>
      <w:pPr>
        <w:pStyle w:val="Heading3"/>
        <w:jc w:val="center"/>
      </w:pPr>
      <w:r>
        <w:t>Článok 58</w:t>
      </w:r>
    </w:p>
    <w:p>
      <w:pPr>
        <w:pStyle w:val="Heading4"/>
        <w:jc w:val="center"/>
      </w:pPr>
      <w:r>
        <w:t>Zákazky na sociálne, zdravotnícke a vzdelávacie služby</w:t>
      </w:r>
    </w:p>
    <w:p>
      <w:r>
        <w:t>1. V prípade verejných zákaziek, ktorých predmetom je niektorá zo služieb uvedených v prílohe VI, môžu obstarávatelia zadávať zákazky v súlade s postupmi stanovenými vo vnútroštátnom práve za predpokladu, že povaha služieb si vyžaduje, aby obstarávatelia zohľadnili osobitosti dotknutých služieb, a za predpokladu, že sa dodržiavajú zásady transparentnosti a rovnakého zaobchádzania, ako aj povinnosti uvedené v odseku 2.</w:t>
      </w:r>
    </w:p>
    <w:p>
      <w:r>
        <w:t>2. Obstarávatelia zadávajúci zákazky podľa odseku 1 tohto článku zohľadnia prostredníctvom vhodných požiadaviek v špecifikáciách, kritériách na vyhodnotenie ponúk alebo podmienkach plnenia zákaziek potrebu zabezpečiť kvalitu, kontinuitu, prístupnosť pre osoby so zdravotným postihnutím, cenovú dostupnosť, dostupnosť a komplexnosť služieb a zapojenie a posilnenie postavenia používateľov vrátane znevýhodnených a zraniteľných osôb s cieľom zabezpečiť ich osobitné osobné zdravotné alebo sociálne potreby. Pri zadávaní takýchto zákaziek obstarávatelia zohľadňujú aj potrebu zabezpečiť dodržiavanie práva osôb so zdravotným postihnutím na sebaurčenie, ako sa stanovuje v článku 19 Dohovoru Organizácie Spojených národov o právach osôb so zdravotným postihnutím.</w:t>
      </w:r>
    </w:p>
    <w:p>
      <w:r>
        <w:t>3. Ak obstarávateľ zadá zákazku podľa tohto článku, uverejní verejné zhrnutie výsledku podľa článku 110 ods. 4 tohto nariadenia najneskôr do 20 dní od zadania zákazky.</w:t>
      </w:r>
    </w:p>
    <w:p>
      <w:pPr>
        <w:pStyle w:val="Heading2"/>
        <w:jc w:val="center"/>
      </w:pPr>
      <w:r>
        <w:t>Kapitola 3</w:t>
      </w:r>
    </w:p>
    <w:p>
      <w:pPr>
        <w:pStyle w:val="Heading2"/>
        <w:jc w:val="center"/>
      </w:pPr>
      <w:r>
        <w:t>Verejné obstarávanie inovácií</w:t>
      </w:r>
    </w:p>
    <w:p>
      <w:pPr>
        <w:pStyle w:val="Heading3"/>
        <w:jc w:val="center"/>
      </w:pPr>
      <w:r>
        <w:t>Článok 59</w:t>
      </w:r>
    </w:p>
    <w:p>
      <w:pPr>
        <w:pStyle w:val="Heading4"/>
        <w:jc w:val="center"/>
      </w:pPr>
      <w:r>
        <w:t>Inovačné ciele vo verejnom obstarávaní</w:t>
      </w:r>
    </w:p>
    <w:p>
      <w:r>
        <w:t>Obstarávatelia môžu zohľadniť inovačné ciele pri obstarávaní tovaru, prác alebo služieb, ktoré zahŕňajú okrem iného jeden alebo viacero z týchto cieľov:</w:t>
      </w:r>
    </w:p>
    <w:p>
      <w:r>
        <w:t>a) podpora uvádzania výsledkov výskumu a inovácií na trh v rámci Únie a podpora účasti startupov, scaleupov a MSP na inováciách vo verejnom obstarávaní, čím sa podporí šírenie inovácií a rast inovačných podnikov;</w:t>
      </w:r>
    </w:p>
    <w:p>
      <w:r>
        <w:t>b) podpora rastu vedúcich trhov v strategických odvetviach Únie podporou vývoja a obstarávania inovačných riešení, ktoré prispievajú k environmentálnej udržateľnosti, sociálnemu začleneniu a udržateľnosti, ochrane zdravia, digitálnej transformácii a technologickému pokroku vrátane interoperability digitálnych systémov a prvkov verejných služieb a riešení s otvoreným zdrojovým kódom;</w:t>
      </w:r>
    </w:p>
    <w:p>
      <w:r>
        <w:t>c) zlepšenie nákladovej efektívnosti nákupov obstarávateľa v porovnaní s existujúcimi alebo konvenčnými alternatívami pri súčasnom zachovaní alebo zvýšení kvality, kvantity alebo vplyvu riešení.</w:t>
      </w:r>
    </w:p>
    <w:p>
      <w:pPr>
        <w:pStyle w:val="Heading3"/>
        <w:jc w:val="center"/>
      </w:pPr>
      <w:r>
        <w:t>Článok 60</w:t>
      </w:r>
    </w:p>
    <w:p>
      <w:pPr>
        <w:pStyle w:val="Heading4"/>
        <w:jc w:val="center"/>
      </w:pPr>
      <w:r>
        <w:t>Verejné obstarávanie inovácií</w:t>
      </w:r>
    </w:p>
    <w:p>
      <w:r>
        <w:t>1. Obstarávatelia klasifikujú svoje obstarávanie ako verejné obstarávanie inovácií vo verejnom zhrnutí hospodárskej súťaže, ak je cieľom obstarávania nákup inovačného riešenia. Inovačné riešenie má jednu alebo viacero nových vlastností, ktoré prinášajú lepší výkon alebo pridanú hodnotu v porovnaní s alternatívnymi riešeniami, ktoré sú dostupné na relevantnom trhu vo veľkom rozsahu na komerčnom základe.</w:t>
      </w:r>
    </w:p>
    <w:p>
      <w:r>
        <w:t>Nové charakteristiky inovačného riešenia môžu zahŕňať nové alebo vylepšené kombinácie existujúcich charakteristík a nové alebo vylepšené spôsoby využívania existujúcich charakteristík, ako je využívanie existujúcich charakteristík v novom odvetví alebo v novom kontexte.</w:t>
      </w:r>
    </w:p>
    <w:p>
      <w:r>
        <w:t>2. Obstarávatelia v každom prípade klasifikujú svoje nákupy vo verejných zhrnutiach ako verejné obstarávanie inovácií v oboch týchto prípadoch:</w:t>
      </w:r>
    </w:p>
    <w:p>
      <w:r>
        <w:t>a) zadanie zákazky na riešenie, ktoré bolo úspešne vyvinuté v inovačnom postupe podľa článku 45;</w:t>
      </w:r>
    </w:p>
    <w:p>
      <w:r>
        <w:t>b) zadanie zákazky v rámci verejnej súťaže podľa článkov 34 a 35, ak má obstarávateľ v úmysle kúpiť riešenie po obstarávaní vo fáze pred komerčným využitím v zmysle vymedzenia v článku 6 bode 13.</w:t>
      </w:r>
    </w:p>
    <w:p>
      <w:pPr>
        <w:pStyle w:val="Heading3"/>
        <w:jc w:val="center"/>
      </w:pPr>
      <w:r>
        <w:t>Článok 61</w:t>
      </w:r>
    </w:p>
    <w:p>
      <w:pPr>
        <w:pStyle w:val="Heading4"/>
        <w:jc w:val="center"/>
      </w:pPr>
      <w:r>
        <w:t>Techniky na sledovanie inovačných cieľov vo verejnom obstarávaní</w:t>
      </w:r>
    </w:p>
    <w:p>
      <w:r>
        <w:t>1. S cieľom sledovať inovačné ciele môžu obstarávatelia pripraviť a navrhnúť akýkoľvek postup obstarávania s použitím jednej alebo viacerých z týchto techník:</w:t>
      </w:r>
    </w:p>
    <w:p>
      <w:r>
        <w:t>a) vyhľadáva, analyzuje a vykonáva poradenstvo zamerané na identifikáciu dostupnosti inovačných riešení v rámci trhových konzultácií;</w:t>
      </w:r>
    </w:p>
    <w:p>
      <w:r>
        <w:t>b) zvážiť nákup riešení s otvoreným zdrojovým kódom alebo riešení s prvkami s otvoreným zdrojovým kódom;</w:t>
      </w:r>
    </w:p>
    <w:p>
      <w:r>
        <w:t>c) používajú len funkčné požiadavky, a ak to nie je možné, výslovne umožňujú varianty;</w:t>
      </w:r>
    </w:p>
    <w:p>
      <w:r>
        <w:t>d) obmedziť podmienky účasti na to, čo je nevyhnutne potrebné a primerané rizikám verejnej zákazky a kapacitám potrebným na jej plnenie, a v prípade potreby bez požiadaviek na obrat a minulú výkonnosť;</w:t>
      </w:r>
    </w:p>
    <w:p>
      <w:r>
        <w:t>e) vyžadujú koncepciu inovácie tovaru, prác alebo služieb ako kvalitatívne kritérium na vyhodnotenie ponúk vrátane uskutočniteľnosti a škálovateľnosti tejto koncepcie alebo jej vplyvu na zelené, sociálne alebo digitálne ciele stanovené pre obstarávanie;</w:t>
      </w:r>
    </w:p>
    <w:p>
      <w:r>
        <w:t>f) určiť jednu alebo viacero konkrétnych častí pre inovácie a poskytnúť jasné, presné a jednoznačné podmienky pre akékoľvek dodatočné nákupy na základe zákazky zadanej v danej časti, ak sa riešenie ukáže ako úspešné;</w:t>
      </w:r>
    </w:p>
    <w:p>
      <w:r>
        <w:t>g) skombinovať viaceré fázy verejnej zákazky na práce, ako je návrh, výstavba, prevádzka a údržba, do jednej integrovanej zákazky;</w:t>
      </w:r>
    </w:p>
    <w:p>
      <w:r>
        <w:t>h) agregovaný dopyt po inovačných riešeniach a umožnenie rozdelenia úloh testovania a validácie medzi obstarávateľov;</w:t>
      </w:r>
    </w:p>
    <w:p>
      <w:r>
        <w:t>i) umožniť experimentovanie, testovanie, validáciu, vývoj, zlepšenie a opätovné investovanie do postupu verejného obstarávania alebo plnenia zmluvy.</w:t>
      </w:r>
    </w:p>
    <w:p>
      <w:r>
        <w:t>2. Techniky uvedené v odseku 1 môžu mať podľa príslušnej techniky a typu príslušného riešenia formu špecifikácií, výberových kritérií, kvalitatívnych aspektov pri uplatňovaní metódy najlepšieho pomeru ceny a kvality alebo podmienok plnenia zákaziek.</w:t>
      </w:r>
    </w:p>
    <w:p>
      <w:pPr>
        <w:pStyle w:val="Heading3"/>
        <w:jc w:val="center"/>
      </w:pPr>
      <w:r>
        <w:t>Článok 62</w:t>
      </w:r>
    </w:p>
    <w:p>
      <w:pPr>
        <w:pStyle w:val="Heading4"/>
        <w:jc w:val="center"/>
      </w:pPr>
      <w:r>
        <w:t>Špecifikácia práv duševného vlastníctva</w:t>
      </w:r>
    </w:p>
    <w:p>
      <w:r>
        <w:t>1. Pri všetkých postupoch, na ktoré sa vzťahuje toto nariadenie, obstarávateľ v rámci svojho maximálneho úsilia podrobne uvedie práva duševného vlastníctva, ktoré považuje za relevantné pre plnenie verejnej zákazky.</w:t>
      </w:r>
    </w:p>
    <w:p>
      <w:r>
        <w:t>2. Tieto informácie musia byť dostatočne jasné a presné, aby hospodárskym subjektom umožnili posúdiť ich povinnosti, ktoré sa ich týkajú, určiť rozsah práv, ktoré sa majú udeliť alebo previesť, a podľa toho pripraviť ich ponuky.</w:t>
      </w:r>
    </w:p>
    <w:p>
      <w:r>
        <w:t>3. Pri odhade hodnoty zákazky podľa článku 32 sa zohľadňuje hodnota rozdelenia práv duševného vlastníctva, ak je to relevantné.</w:t>
      </w:r>
    </w:p>
    <w:p>
      <w:pPr>
        <w:pStyle w:val="Heading3"/>
        <w:jc w:val="center"/>
      </w:pPr>
      <w:r>
        <w:t>Článok 63</w:t>
      </w:r>
    </w:p>
    <w:p>
      <w:pPr>
        <w:pStyle w:val="Heading4"/>
        <w:jc w:val="center"/>
      </w:pPr>
      <w:r>
        <w:t>Udeľovanie licencií</w:t>
      </w:r>
    </w:p>
    <w:p>
      <w:r>
        <w:t>1. Hospodársky subjekt poskytne obstarávateľovi primerané, dostatočné a nevýhradné licencie v rozsahu a na obdobie potrebné na to, aby mohol využívať, prijímať, prevádzkovať, udržiavať alebo inak využívať služby, výstupy alebo iné zmluvné výstupy poskytované pri plnení verejnej zákazky.</w:t>
      </w:r>
    </w:p>
    <w:p>
      <w:r>
        <w:t>Licencie uvedené v prvom pododseku sa vzťahujú na obe tieto práva:</w:t>
      </w:r>
    </w:p>
    <w:p>
      <w:r>
        <w:t>a) všetky existujúce práva duševného vlastníctva, ktoré vlastní hospodársky subjekt alebo na ktoré má hospodársky subjekt licenciu;</w:t>
      </w:r>
    </w:p>
    <w:p>
      <w:r>
        <w:t>b) všetky práva duševného vlastníctva, ktoré vznikli pri plnení verejnej zákazky.</w:t>
      </w:r>
    </w:p>
    <w:p>
      <w:r>
        <w:t>2. Licencie podľa odseku 1 umožňujú obstarávateľovi, či už priamo alebo prostredníctvom dodávateľov alebo poskytovateľov služieb konajúcich v jeho mene, používať, reprodukovať, vykonávať, vystavovať, prispôsobovať, konfigurovať, integrovať, udržiavať, opravovať, podporovať, modernizovať a inak využívať takéto práva a súvisiace výstupy v rozsahu potrebnom na zabezpečenie nepretržitého využívania tovaru, služieb alebo prác na ich zamýšľaný účel a riadneho plnenia verejnej zákazky.</w:t>
      </w:r>
    </w:p>
    <w:p>
      <w:pPr>
        <w:pStyle w:val="Heading3"/>
        <w:jc w:val="center"/>
      </w:pPr>
      <w:r>
        <w:t>Článok 64</w:t>
      </w:r>
    </w:p>
    <w:p>
      <w:pPr>
        <w:pStyle w:val="Heading4"/>
        <w:jc w:val="center"/>
      </w:pPr>
      <w:r>
        <w:t>Obmedzenia prevodu vlastníctva</w:t>
      </w:r>
    </w:p>
    <w:p>
      <w:r>
        <w:t>1. Akékoľvek už existujúce duševné vlastníctvo vrátane softvérových komponentov, modelov, metód, platforiem alebo systémov, ktoré hospodársky subjekt vlastní alebo kontroluje pred obstarávaním alebo nezávisle od neho, zostáva vlastníctvom hospodárskeho subjektu a nepodlieha povinnostiam prevodu vlastníctva na obstarávateľa.</w:t>
      </w:r>
    </w:p>
    <w:p>
      <w:r>
        <w:t>2. Odchylne od odseku 1 môžu obstarávatelia požadovať prevod vlastníctva už existujúcich práv duševného vlastníctva, ktoré sú potrebné na realizáciu, prevádzku a údržbu riešení, najmä v prípadoch kritickej infraštruktúry a ak je to zahrnuté v podrobnostiach obstarávania primeraným, transparentným a nediskriminačným spôsobom bez narušenia hospodárskej súťaže.</w:t>
      </w:r>
    </w:p>
    <w:p>
      <w:r>
        <w:t>3. V prípade práv duševného vlastníctva, ktoré vznikli v súvislosti s plnením verejnej zákazky, obstarávatelia v podrobnostiach o obstarávaní v relevantných prípadoch uvedú rozdelenie týchto práv medzi obstarávateľa a hospodársky subjekt.</w:t>
      </w:r>
    </w:p>
    <w:p>
      <w:r>
        <w:t>4. Odchylne od odseku 3 tohto článku si hospodárske subjekty v prípade verejných zákaziek, na ktoré sa vzťahuje inovačný postup podľa článkov 41 až 45, ponechajú vlastníctvo práv duševného vlastníctva, ktoré vznikli počas inovačného postupu alebo pri plnení príslušnej verejnej zákazky, pokiaľ to nie je odôvodnené závažnými dôvodmi verejného záujmu, ktoré sú jasne uvedené v podrobnostiach obstarávania. Takéto závažné dôvody verejného záujmu sa môžu okrem iného týkať potreby zabrániť odkázanosti na určitého dodávateľa technológie alebo chrániť bezpečnosť alebo kritické verejné služby obstarávateľa, členského štátu alebo Únie, najmä pokiaľ ide o kritickú infraštruktúru.</w:t>
      </w:r>
    </w:p>
    <w:p>
      <w:pPr>
        <w:pStyle w:val="Heading3"/>
        <w:jc w:val="center"/>
      </w:pPr>
      <w:r>
        <w:t>Článok 65</w:t>
      </w:r>
    </w:p>
    <w:p>
      <w:pPr>
        <w:pStyle w:val="Heading4"/>
        <w:jc w:val="center"/>
      </w:pPr>
      <w:r>
        <w:t>Informačné modelovanie budov</w:t>
      </w:r>
    </w:p>
    <w:p>
      <w:r>
        <w:t>1. Na plnenie verejných zákaziek na uskutočnenie stavebných prác s odhadovanou hodnotou rovnajúcou sa alebo vyššou ako 25 000 000 EUR obstarávatelia vyžadujú pri plnení verejných zákaziek na uskutočnenie stavebných prác použitie informačného modelovania budov.</w:t>
      </w:r>
    </w:p>
    <w:p>
      <w:r>
        <w:t>2. „Informačné modelovanie budov“ sú metodiky kolaboratívnych digitálnych procesov využívajúce otvorené, interoperabilné formáty na účely vytvárania, riadenia a výmeny štruktúrovaných informácií o verejnej zákazke na práce počas celého jej životného cyklu.</w:t>
      </w:r>
    </w:p>
    <w:p>
      <w:r>
        <w:t>3. Odchylne od odseku 1 môžu obstarávatelia vykonať ktorúkoľvek z týchto činností:</w:t>
      </w:r>
    </w:p>
    <w:p>
      <w:r>
        <w:t>a) požadovať používanie informačného modelovania budov len od určitých dodávateľov alebo v určitých častiach, ak by takéto požiadavky inak predstavovali neprimeranú záťaž pre dotknuté hospodárske subjekty a úplné pokrytie projektu v informačnom modelovaní budov nie je potrebné; alebo</w:t>
      </w:r>
    </w:p>
    <w:p>
      <w:r>
        <w:t>b) nepožadovať používanie informačného modelovania budov alebo požadovať jeho používanie len pre určité časti riešenia alebo od určitých dodávateľov, ak by takéto požiadavky inak predstavovali riziko pre bezpečnosť alebo verejnú bezpečnosť.</w:t>
      </w:r>
    </w:p>
    <w:p>
      <w:r>
        <w:t>4. Komisia je splnomocnená prijímať delegované akty v súlade s článkom 141 s cieľom zmeniť toto nariadenie tak, aby sa znížila prahová hodnota stanovená v odseku 1, ak je to odôvodnené zvýšeným využívaním informačného modelovania budov na trhu.</w:t>
      </w:r>
    </w:p>
    <w:p>
      <w:pPr>
        <w:pStyle w:val="Heading2"/>
        <w:jc w:val="center"/>
      </w:pPr>
      <w:r>
        <w:t>Kapitola 4</w:t>
      </w:r>
    </w:p>
    <w:p>
      <w:pPr>
        <w:pStyle w:val="Heading2"/>
        <w:jc w:val="center"/>
      </w:pPr>
      <w:r>
        <w:t>Bezpečnosť a odolnosť</w:t>
      </w:r>
    </w:p>
    <w:p>
      <w:pPr>
        <w:pStyle w:val="Heading3"/>
        <w:jc w:val="center"/>
      </w:pPr>
      <w:r>
        <w:t>Článok 66</w:t>
      </w:r>
    </w:p>
    <w:p>
      <w:pPr>
        <w:pStyle w:val="Heading4"/>
        <w:jc w:val="center"/>
      </w:pPr>
      <w:r>
        <w:t>Bezpečnostné aspekty vo verejnom obstarávaní</w:t>
      </w:r>
    </w:p>
    <w:p>
      <w:r>
        <w:t>1. Obstarávatelia prijmú okrem opatrení vyžadovaných alebo uložených na základe iných právnych predpisov Únie v relevantných prípadoch vhodné opatrenia v ktorejkoľvek fáze postupu obstarávania, od plánovania a trhovej konzultácie až po zadanie a vykonanie zákazky, aby zabezpečili ochranu záujmov Únie alebo jedného alebo viacerých členských štátov v oblasti bezpečnosti a verejnej bezpečnosti v prípade akéhokoľvek postupu verejného obstarávania, pri ktorom sa zistilo, že predstavuje riziko pre bezpečnosť alebo verejnú bezpečnosť alebo zahŕňa takéto riziko. Touto kapitolou nie sú dotknuté iné požiadavky podľa príslušných právnych predpisov Únie.</w:t>
      </w:r>
    </w:p>
    <w:p>
      <w:r>
        <w:t>2. Záujmy Únie alebo členského štátu v oblasti bezpečnosti a ochrany verejnosti, ktoré sú relevantné pre danú zákazku, môžu okrem iného zahŕňať:</w:t>
      </w:r>
    </w:p>
    <w:p>
      <w:r>
        <w:t>a) ochrana kritickej infraštruktúry, strategickej infraštruktúry s dvojakým použitím určenej členskými štátmi v súlade s [článkom 33 nariadenia o vojenskej mobilite], najmä v prípade tých, ktoré sa nachádzajú na koridore vojenskej mobility, kritických dodávateľských reťazcov, kritických technológií alebo základných služieb, odolnosť voči fyzickým, kybernetickým alebo hybridným hrozbám a predchádzanie rizikám akéhokoľvek narušenia a ochrana pred nimi, a to aj v dôsledku škodlivých strategických závislostí od dodávateľov z tretích krajín;</w:t>
      </w:r>
    </w:p>
    <w:p>
      <w:r>
        <w:t>b) zabránenie špionáži, sabotáži alebo úniku technológií;</w:t>
      </w:r>
    </w:p>
    <w:p>
      <w:r>
        <w:t>c) pripravenosť na krízy vrátane kontinuity činností a plánovania pre prípad nepredvídaných udalostí v prípade narušení v prípade prírodných katastrof alebo geopolitickej nestability, pandémií alebo kybernetických útokov;</w:t>
      </w:r>
    </w:p>
    <w:p>
      <w:r>
        <w:t>d) predchádzanie inému škodlivému rušeniu vrátane vplyvu tretej krajiny a štátom kontrolovaného vplyvu tretej krajiny;</w:t>
      </w:r>
    </w:p>
    <w:p>
      <w:r>
        <w:t>e) kybernetickú bezpečnosť systémov, sietí a spracúvaných údajov;</w:t>
      </w:r>
    </w:p>
    <w:p>
      <w:r>
        <w:t>f) ochrana utajovaných skutočností, citlivých údajov, výskumu alebo duševného vlastníctva pred neoprávneným prístupom alebo prenosom;</w:t>
      </w:r>
    </w:p>
    <w:p>
      <w:r>
        <w:t>g) zabezpečenie verejného zdravia vrátane zdravotníckych služieb pripravených na krízy a sebestačných zdravotníckych služieb; alebo</w:t>
      </w:r>
    </w:p>
    <w:p>
      <w:r>
        <w:t>h) odolnosť voči narušeniam súvisiacim s klímou.</w:t>
      </w:r>
    </w:p>
    <w:p>
      <w:r>
        <w:t>3. Riziká pre bezpečnosť alebo verejnú bezpečnosť vo verejnej zákazke môžu vyplývať najmä z:</w:t>
      </w:r>
    </w:p>
    <w:p>
      <w:r>
        <w:t>a) predmet zákazky, ako napríklad:</w:t>
      </w:r>
    </w:p>
    <w:p>
      <w:r>
        <w:t>i) citlivosť použitých prostriedkov alebo prostriedkov, ktoré sa majú vyvinúť pri ich vykonávaní;</w:t>
      </w:r>
    </w:p>
    <w:p>
      <w:r>
        <w:t>ii) prístup k citlivým údajom a zaobchádzanie s nimi;</w:t>
      </w:r>
    </w:p>
    <w:p>
      <w:r>
        <w:t>iii) kritická závislosť alebo riziko kritickej závislosti od obmedzeného počtu dodávateľov, tovaru, služieb alebo technológií z tretích krajín;</w:t>
      </w:r>
    </w:p>
    <w:p>
      <w:r>
        <w:t>iv) riziká spojené s prístupom ku kritickej infraštruktúre, strategickej infraštruktúre s dvojakým použitím určenej členskými štátmi v súlade s [článkom 33 nariadenia o vojenskej mobilite], výskumným zariadeniam, informačným systémom alebo kritickým materiálom;</w:t>
      </w:r>
    </w:p>
    <w:p>
      <w:r>
        <w:t>v) povaha dvojakého použitia obstarávaných technológií, prác, tovaru alebo služieb;</w:t>
      </w:r>
    </w:p>
    <w:p>
      <w:r>
        <w:t>vi) povahu verejných záujmov, ktoré sú s ňou spojené, a možné dôsledky nesprávneho fungovania alebo nesprávneho výkonu, ako je poškodenie verejnej bezpečnosti, národnej bezpečnosti, hospodárskej stability, zdravotnej bezpečnosti alebo základných práv;</w:t>
      </w:r>
    </w:p>
    <w:p>
      <w:r>
        <w:t>b) charakteristiky hospodárskych subjektov, ako napríklad:</w:t>
      </w:r>
    </w:p>
    <w:p>
      <w:r>
        <w:t>i) vlastnícku, kontrolnú alebo finančnú štruktúru, ktorá nesie riziká neprimeraného zasahovania alebo vplyvu na ňu;</w:t>
      </w:r>
    </w:p>
    <w:p>
      <w:r>
        <w:t>ii) doterajšie výsledky v oblasti bezpečnosti vrátane minulých porušení, nedodržiavania bezpečnostných noriem alebo vylúčenia z iných postupov verejného obstarávania z bezpečnostných dôvodov;</w:t>
      </w:r>
    </w:p>
    <w:p>
      <w:r>
        <w:t>iii) schopnosť plniť príslušné požiadavky na bezpečnostnú previerku, previerku zamestnancov alebo informačnú bezpečnosť;</w:t>
      </w:r>
    </w:p>
    <w:p>
      <w:r>
        <w:t>iv) expozícia voči právnym predpisom tretích krajín, ktoré môžu vyžadovať zverejnenie citlivých informácií alebo zasahovanie do plnenia zákazky.</w:t>
      </w:r>
    </w:p>
    <w:p>
      <w:r>
        <w:t>4. Obstarávatelia v čo najväčšej možnej miere jasne a dostatočne podrobne špecifikujú v podrobnostiach obstarávania vhodné opatrenia, ktoré sú primerané rizikám uvedeným v odseku 3 a nediskriminačné. Takéto opatrenia sa môžu vykonávať najmä prostredníctvom:</w:t>
      </w:r>
    </w:p>
    <w:p>
      <w:r>
        <w:t>a) špecifikácie, ako sú povinné bezpečnostné normy, osvedčenia, povinnosti týkajúce sa previerky alebo bezpečnostnej previerky zamestnancov alebo požiadavky na riadenie rizík a zabezpečenie;</w:t>
      </w:r>
    </w:p>
    <w:p>
      <w:r>
        <w:t>b) kritériá na vyhodnotenie ponúk, ako je hodnotenie systémov riadenia bezpečnosti uchádzačov, normy dodržiavania bezpečnosti, spôsobilosti reakcie na incidenty, bezpečnosť dodávateľského reťazca;</w:t>
      </w:r>
    </w:p>
    <w:p>
      <w:r>
        <w:t>c) podmienky plnenia zákaziek, ako je umožnenie bezpečnostného dohľadu nad dodávateľmi prostredníctvom auditov, inšpekcií alebo preskúmaní dokumentácie a vykonávanie nápravných opatrení v prípade porušení vrátane ustanovení o zadávaní zákaziek subdodávateľom, oznámení o zmene vlastníctva a ochrany utajovaných alebo citlivých informácií;</w:t>
      </w:r>
    </w:p>
    <w:p>
      <w:r>
        <w:t>d) podmienky účasti, ak sú odôvodnené, ako napríklad existencia bezpečnostnej previerky alebo iná požiadavka, aby uchádzači preukázali, že nepredstavujú riziká pre bezpečnosť alebo verejnú bezpečnosť podľa odseku 3 písm. b). Tým nie je dotknutý článok 26;</w:t>
      </w:r>
    </w:p>
    <w:p>
      <w:r>
        <w:t>e) odchylne od článku 34 ods. 2 vyzve na predloženie ponuky v rámci postupu uvedeného v článku 34 len tie hospodárske subjekty, ktoré spĺňajú osobitné objektívne a nediskriminačné požiadavky týkajúce sa bezpečnosti, za predpokladu, že obstarávateľ vo verejnom zhrnutí hospodárskej súťaže pre dané obstarávanie uviedol svoj úmysel tak urobiť, ako aj požiadavky týkajúce sa bezpečnosti, ktoré má v úmysle uplatňovať.</w:t>
      </w:r>
    </w:p>
    <w:p>
      <w:r>
        <w:t>Obstarávatelia môžu v podrobnostiach verejného obstarávania uviesť aj to, ktoré bezpečnostné opatrenia plánujú zaviesť, ak počas postupu verejného obstarávania vzniknú riziká pre bezpečnosť alebo verejnú bezpečnosť.</w:t>
      </w:r>
    </w:p>
    <w:p>
      <w:r>
        <w:t>5. Obstarávatelia kedykoľvek počas postupu vylúčia hospodársky subjekt z účasti na postupe obstarávania, ak bol tento subjekt identifikovaný ako vysokorizikový dodávateľ podľa nariadenia (EÚ) XXXX/XXX [návrh CSA2], pokiaľ ide o poskytovanie komponentov IKT alebo komponentov, ktoré zahŕňajú komponenty IKT, ktoré sa majú používať v kľúčových IKT aktívach určených v súlade s článkom [...] uvedeného nariadenia.</w:t>
      </w:r>
    </w:p>
    <w:p>
      <w:r>
        <w:t>6. Ak existujú dôkazy o tom, že rozdiely v opatreniach ovplyvňujú fungovanie vnútorného trhu, Komisia je splnomocnená prijímať delegované akty v súlade s článkom 141 s cieľom doplniť toto nariadenie stanovením povinných technických špecifikácií, podmienok účasti, kritérií na vyhodnotenie ponúk alebo doložiek o plnení zákazky pre osobitné kategórie tovaru, služieb alebo prác, ak takéto prvky riešia identifikovaný osobitný záujem Únie v oblasti bezpečnosti a verejnej bezpečnosti.</w:t>
      </w:r>
    </w:p>
    <w:p>
      <w:pPr>
        <w:pStyle w:val="Heading3"/>
        <w:jc w:val="center"/>
      </w:pPr>
      <w:r>
        <w:t>Článok 67</w:t>
      </w:r>
    </w:p>
    <w:p>
      <w:pPr>
        <w:pStyle w:val="Heading4"/>
        <w:jc w:val="center"/>
      </w:pPr>
      <w:r>
        <w:t>Bezpečnostné opatrenia počas plnenia zmluvy</w:t>
      </w:r>
    </w:p>
    <w:p>
      <w:r>
        <w:t>1. Bez toho, aby bolo dotknuté zmluvné právo členských štátov, môže obstarávateľ vypovedať zmluvu úplne alebo čiastočne, ak zistí, že dodávateľ nedodržal opatrenia alebo povinnosti zamerané na predchádzanie rizikám ohrozujúcim bezpečnosť alebo verejnú bezpečnosť alebo ich zmierňovanie, alebo ak sa riziko pre bezpečnosť alebo verejnú bezpečnosť naplnilo alebo je pravdepodobné, že sa naplní. Za rovnakých podmienok môžu vylúčiť určité hospodárske subjekty počas plnenia zákazky.</w:t>
      </w:r>
    </w:p>
    <w:p>
      <w:r>
        <w:t>2. Ukončenie a vylúčenie podľa tohto článku musí byť primerané riziku pre bezpečnosť alebo verejnú bezpečnosť. Pred vypovedaním zmluvy alebo vylúčením hospodárskeho subjektu obstarávateľ vykoná písomné posúdenie. Obstarávateľ zohľadní najmä:</w:t>
      </w:r>
    </w:p>
    <w:p>
      <w:r>
        <w:t>a) závažnosť rizika pre bezpečnosť alebo verejnú bezpečnosť;</w:t>
      </w:r>
    </w:p>
    <w:p>
      <w:r>
        <w:t>b) vplyv ukončenia na poskytovanie verejných služieb;</w:t>
      </w:r>
    </w:p>
    <w:p>
      <w:r>
        <w:t>c) alternatívne zmierňujúce opatrenia, ako sú zmluvné zmeny alebo posilnené monitorovanie.</w:t>
      </w:r>
    </w:p>
    <w:p>
      <w:r>
        <w:t>3. Pokiaľ to nie je odôvodnené závažnosťou súvisiacich rizík, bezprostrednosťou hrozby alebo ak oznámenie môže riziko zhoršiť, obstarávateľ písomne oznámi dodávateľovi svoj zámer vypovedať zmluvu alebo vylúčiť ju, pričom uvedie:</w:t>
      </w:r>
    </w:p>
    <w:p>
      <w:r>
        <w:t>a) dôvody vypovedania alebo vylúčenia;</w:t>
      </w:r>
    </w:p>
    <w:p>
      <w:r>
        <w:t>b) skutočnosti a dôkazy na podporu rozhodnutia s výnimkou utajovaných skutočností;</w:t>
      </w:r>
    </w:p>
    <w:p>
      <w:r>
        <w:t>c) navrhovaný dátum ukončenia alebo vylúčenia.</w:t>
      </w:r>
    </w:p>
    <w:p>
      <w:r>
        <w:t>4. Dodávateľ má primeraný čas, ktorý určí obstarávateľ a ktorý nesmie byť kratší ako desať kalendárnych dní, na predloženie pripomienok k dôvodom vypovedania alebo vylúčenia a na navrhnutie nápravných opatrení. Obstarávateľ môže v prípade núdze túto lehotu skrátiť.</w:t>
      </w:r>
    </w:p>
    <w:p>
      <w:r>
        <w:t>5. Dodávateľ spolupracuje s obstarávateľom s cieľom zabezpečiť alebo preniesť údaje, dokumenty alebo aktíva súvisiace so zmluvou a zabezpečiť kontinuitu kritických služieb až do nadobudnutia účinnosti vypovedania zmluvy.</w:t>
      </w:r>
    </w:p>
    <w:p>
      <w:pPr>
        <w:pStyle w:val="Heading3"/>
        <w:jc w:val="center"/>
      </w:pPr>
      <w:r>
        <w:t>Článok 68</w:t>
      </w:r>
    </w:p>
    <w:p>
      <w:pPr>
        <w:pStyle w:val="Heading4"/>
        <w:jc w:val="center"/>
      </w:pPr>
      <w:r>
        <w:t>Kybernetická bezpečnosť</w:t>
      </w:r>
    </w:p>
    <w:p>
      <w:r>
        <w:t>1. Ak produkty s digitálnymi prvkami patria do rozsahu pôsobnosti nariadenia (EÚ) 2024/2847, členské štáty zabezpečia, aby sa v procese obstarávania zohľadnil súlad so základnými požiadavkami kybernetickej bezpečnosti stanovenými v prílohe I k uvedenému nariadeniu vrátane schopnosti výrobcov účinne riešiť zraniteľnosti.</w:t>
      </w:r>
    </w:p>
    <w:p>
      <w:r>
        <w:t>2. Toto nariadenie nebráni členským štátom, aby na produkty s digitálnymi prvkami uplatňovali dodatočné požiadavky kybernetickej bezpečnosti pri obstarávaní alebo používaní týchto produktov na osobitné účely, a to aj vtedy, ak sa tieto produkty obstarávajú alebo používajú na účely národnej bezpečnosti alebo obrany, za predpokladu, že takéto požiadavky sú v súlade s povinnosťami členských štátov stanovenými v práve Únie a že sú potrebné a primerané na dosiahnutie týchto účelov.</w:t>
      </w:r>
    </w:p>
    <w:p>
      <w:r>
        <w:t>3. Bez toho, aby bol dotknutý odsek 1, a bez toho, aby bola dotknutá smernica (EÚ) 2022/2555[52], obstarávatelia môžu v príslušných prípadoch v podrobnostiach o obstarávaní špecifikovať požiadavky týkajúce sa kybernetickej bezpečnosti obstarávaných prác, tovaru alebo služieb. Na tento účel môžu zahŕňať špecifikácie, podmienky účasti, kritériá na vyhodnotenie ponúk alebo podmienky plnenia zákaziek. Takéto požiadavky sú spojené s predmetom zákazky a sú v súlade so zásadami transparentnosti, nediskriminácie a proporcionality.</w:t>
      </w:r>
    </w:p>
    <w:p>
      <w:r>
        <w:rPr>
          <w:sz w:val="16"/>
        </w:rPr>
        <w:t>52 Smernica Európskeho parlamentu a Rady (EÚ) 2022/2555 zo 14. decembra 2022 o opatreniach na zabezpečenie vysokej spoločnej úrovne kybernetickej bezpečnosti v Únii, ktorou sa mení nariadenie (EÚ) č. 910/2014 a smernica (EÚ) 2018/1972 a zrušuje smernica (EÚ) 2016/1148 (smernica NIS 2) (Ú. v. EÚ L 333, 27.12.2022, s. 80, ELI: http://data.europa.eu/eli/dir/2022/2555/oj).</w:t>
      </w:r>
    </w:p>
    <w:p>
      <w:pPr>
        <w:pStyle w:val="Heading3"/>
        <w:jc w:val="center"/>
      </w:pPr>
      <w:r>
        <w:t>Článok 69</w:t>
      </w:r>
    </w:p>
    <w:p>
      <w:pPr>
        <w:pStyle w:val="Heading4"/>
        <w:jc w:val="center"/>
      </w:pPr>
      <w:r>
        <w:t>Odolnosť a bezpečnosť dodávok pre kritické subjekty alebo infraštruktúry</w:t>
      </w:r>
    </w:p>
    <w:p>
      <w:r>
        <w:t>1. Ak má verejnú zákazku vykonať obstarávateľ, ktorý bol príslušným členským štátom identifikovaný ako kritický subjekt v súlade s článkom 6 smernice (EÚ) 2022/2557[53], obstarávateľ v relevantných prípadoch zahrnie do podrobných informácií o obstarávaní požiadavky týkajúce sa bezpečnosti dodávok, hospodárskej, fyzickej a geopolitickej odolnosti, ako aj transparentnosti a udržateľnosti dodávateľských reťazcov obstarávaných prác, tovaru alebo služieb. V prípade potreby sa takéto požiadavky zakladajú na rizikách identifikovaných na základe povinnosti posúdenia rizík podľa článku 12 smernice (EÚ) 2022/2557.</w:t>
      </w:r>
    </w:p>
    <w:p>
      <w:r>
        <w:t>2. Požiadavky uvedené v odseku 1 sa môžu stanoviť v špecifikáciách, podmienkach účasti, kritériách na vyhodnotenie ponúk alebo podmienkach plnenia zákaziek, musia súvisieť s predmetom zákazky a byť v súlade so zásadami transparentnosti, nediskriminácie a proporcionality.</w:t>
      </w:r>
    </w:p>
    <w:p>
      <w:r>
        <w:t>3. Obstarávatelia môžu okrem iného požadovať, aby ponuka obsahovala jeden alebo viacero z týchto prvkov alebo aby sa v zmluve stanovil jeden alebo viacero z týchto prvkov:</w:t>
      </w:r>
    </w:p>
    <w:p>
      <w:r>
        <w:t>a) diverzifikácia dodávateľského reťazca vrátane využitia prístupu založeného na viacerých zdrojoch, geografická diverzifikácia výroby alebo obmedzenie závislosti od jedinej tretej krajiny alebo jediného hospodárskeho subjektu z tretej krajiny;</w:t>
      </w:r>
    </w:p>
    <w:p>
      <w:r>
        <w:t>b) bezpečnosť dodávok a kontinuita vrátane:</w:t>
      </w:r>
    </w:p>
    <w:p>
      <w:r>
        <w:t>i) osvedčenie alebo dokumentáciu preukazujúcu, že organizácia a umiestnenie dodávateľského reťazca uchádzača mu umožnia splniť požiadavky na bezpečnosť dodávok stanovené v súťažných podkladoch;</w:t>
      </w:r>
    </w:p>
    <w:p>
      <w:r>
        <w:t>ii) záväzok zabezpečiť, aby prípadné zmeny v dodávateľskom reťazci počas plnenia zákazky nemali nepriaznivý vplyv na dodržiavanie týchto požiadaviek;</w:t>
      </w:r>
    </w:p>
    <w:p>
      <w:r>
        <w:t>iii) povinnosti týkajúce sa vytvárania zásob v rámci Únie;</w:t>
      </w:r>
    </w:p>
    <w:p>
      <w:r>
        <w:t>iv) plány na zabezpečenie kontinuity činností a obnovy systému po havárii;</w:t>
      </w:r>
    </w:p>
    <w:p>
      <w:r>
        <w:t>v) záväzok uchádzača poskytnúť v súlade s podmienkami, ktoré sa majú dohodnúť, osobitné prostriedky potrebné na pokračujúcu výrobu alebo poskytovanie náhradných dielov, komponentov, zostáv, aktualizácií softvéru alebo skúšobného zariadenia v prípade, že už nie je schopný zabezpečiť samotnú dodávku;</w:t>
      </w:r>
    </w:p>
    <w:p>
      <w:r>
        <w:t>c) pripravenosť na krízy a pohotovostná kapacita vrátane:</w:t>
      </w:r>
    </w:p>
    <w:p>
      <w:r>
        <w:t>i) záväzok uchádzača vytvoriť a/alebo zachovať požadovanú kapacitu vrátane spôsobilostí na rozširovanie s cieľom uspokojiť dodatočné potreby obstarávateľa v dôsledku krízy v súlade s podmienkami, ktoré sa dohodnú;</w:t>
      </w:r>
    </w:p>
    <w:p>
      <w:r>
        <w:t>ii) plány pripravenosti na krízy, povinná odborná príprava manažmentu a kľúčových zamestnancov a oznamovanie incidentov obstarávateľovi;</w:t>
      </w:r>
    </w:p>
    <w:p>
      <w:r>
        <w:t>d) transparentnosť a vysledovateľnosť dodávateľského reťazca, ak je primeraná významu zákazky a súvisiacim rizikám vrátane kvality riadenia dodávateľského reťazca a pohotovostných plánov, ktoré poskytli uchádzači;</w:t>
      </w:r>
    </w:p>
    <w:p>
      <w:r>
        <w:t>e) povinnosť poskytovateľov služieb oznámiť všetkým dotknutým obstarávateľom akékoľvek možné dvojité zaúčtovanie spôsobilosti alebo služieb pred prijatím protichodných príkazov;</w:t>
      </w:r>
    </w:p>
    <w:p>
      <w:r>
        <w:t>f) doložka o flexibilnej účasti, ktorá umožňuje iným obstarávateľom pripojiť sa ako zmluvné strany bez toho, aby sa zmenil vecný alebo kvantitatívny rozsah zákazky.</w:t>
      </w:r>
    </w:p>
    <w:p>
      <w:r>
        <w:t>4. Komisia je splnomocnená prijímať delegované akty v súlade s článkom 141, ktorými sa stanovujú povinné špecifikácie, podmienky účasti, kritériá na vyhodnotenie ponúk alebo podmienky plnenia zákaziek týkajúcich sa odolnosti, bezpečnosti dodávok a transparentnosti dodávateľského reťazca pre osobitné kategórie prác, tovaru alebo služieb, pri ktorých sa zistila kritická závislosť, systémové riziko alebo rozmer kritickej infraštruktúry.</w:t>
      </w:r>
    </w:p>
    <w:p>
      <w:r>
        <w:t>5. Týmto článkom nie sú dotknuté požiadavky na bezpečnosť dodávok podľa príslušných právnych predpisov Únie, najmä požiadavky podľa nariadenia (EÚ) 2019/1242[54] a nariadenia (EÚ) 2024/1735.</w:t>
      </w:r>
    </w:p>
    <w:p>
      <w:r>
        <w:rPr>
          <w:sz w:val="16"/>
        </w:rPr>
        <w:t>53 Smernica Európskeho parlamentu a Rady (EÚ) 2022/2557 zo 14. decembra 2022 o odolnosti kritických subjektov a o zrušení smernice Rady 2008/114/ES (Ú. v. EÚ L 333, 27.12.2022, s. 164, ELI: http://data.europa.eu/eli/dir/2022/2557/oj).</w:t>
      </w:r>
    </w:p>
    <w:p>
      <w:r>
        <w:rPr>
          <w:sz w:val="16"/>
        </w:rPr>
        <w:t>54 Nariadenie Európskeho parlamentu a Rady (EÚ) 2019/1242 z 20. júna 2019, ktorým sa stanovujú emisné normy CO2 pre nové ťažké úžitkové vozidlá a menia nariadenia Európskeho parlamentu a Rady (ES) č. 595/2009 a (EÚ) 2018/956 a smernica Rady 96/53/ES (Ú. v. EÚ L 198, 25.7.2019, s. 202, ELI: http://data.europa.eu/eli/reg/2019/1242/oj).</w:t>
      </w:r>
    </w:p>
    <w:p>
      <w:pPr>
        <w:pStyle w:val="Heading2"/>
        <w:jc w:val="center"/>
      </w:pPr>
      <w:r>
        <w:t>Kapitola 5</w:t>
      </w:r>
    </w:p>
    <w:p>
      <w:pPr>
        <w:pStyle w:val="Heading2"/>
        <w:jc w:val="center"/>
      </w:pPr>
      <w:r>
        <w:t>Európska preferencia</w:t>
      </w:r>
    </w:p>
    <w:p>
      <w:pPr>
        <w:pStyle w:val="Heading3"/>
        <w:jc w:val="center"/>
      </w:pPr>
      <w:r>
        <w:t>Článok 70</w:t>
      </w:r>
    </w:p>
    <w:p>
      <w:pPr>
        <w:pStyle w:val="Heading4"/>
        <w:jc w:val="center"/>
      </w:pPr>
      <w:r>
        <w:t>Zahrnuté hospodárske subjekty, tovar, služby alebo práce</w:t>
      </w:r>
    </w:p>
    <w:p>
      <w:r>
        <w:t>1. Hospodársky subjekt sa na účely tohto nariadenia považuje za „zahrnutý“, ak má pôvod podľa článku 74 ods. 1 v:</w:t>
      </w:r>
    </w:p>
    <w:p>
      <w:r>
        <w:t>a) tretia krajina, ktorá je zmluvnou stranou dohody GPA, za predpokladu, že predmetné obstarávanie patrí do rozsahu pôsobnosti záväzkov Únie podľa uvedenej dohody, pričom sa zohľadnia uplatniteľné prílohy;</w:t>
      </w:r>
    </w:p>
    <w:p>
      <w:r>
        <w:t>b) tretia krajina, ktorá uzavrela dvojstrannú alebo mnohostrannú obchodnú dohodu s Úniou za podmienok stanovených v uvedenej dohode, za predpokladu, že predmetné obstarávanie patrí do rozsahu pôsobnosti záväzkov Únie v oblasti verejného obstarávania v uvedenej dohode;</w:t>
      </w:r>
    </w:p>
    <w:p>
      <w:r>
        <w:t>c) tretia krajina, ktorá s Úniou uzavrela dohodu o vytvorení colnej únie za podmienok stanovených v uvedenej dohode, za predpokladu, že predmetné obstarávanie patrí do rozsahu pôsobnosti záväzkov Únie v oblasti verejného obstarávania v uvedenej dohode.</w:t>
      </w:r>
    </w:p>
    <w:p>
      <w:r>
        <w:t>2. Tovar, služby alebo práce sa na účely tohto nariadenia považujú za „zahrnuté“, ak majú pôvod podľa článku 74 ods. 2, 3 a 4 v:</w:t>
      </w:r>
    </w:p>
    <w:p>
      <w:r>
        <w:t>a) tretia krajina, ktorá je zmluvnou stranou dohody GPA, za predpokladu, že predmetné obstarávanie patrí do rozsahu pôsobnosti záväzkov Únie podľa uvedenej dohody, pričom sa zohľadnia uplatniteľné prílohy;</w:t>
      </w:r>
    </w:p>
    <w:p>
      <w:r>
        <w:t>b) tretia krajina, ktorá uzavrela dvojstrannú alebo mnohostrannú obchodnú dohodu s Úniou za podmienok stanovených v uvedenej dohode, za predpokladu, že predmetné obstarávanie patrí do rozsahu pôsobnosti záväzkov Únie v oblasti verejného obstarávania v uvedenej dohode;</w:t>
      </w:r>
    </w:p>
    <w:p>
      <w:r>
        <w:t>c) tretia krajina, ktorá s Úniou uzavrela dohodu o vytvorení colnej únie za podmienok stanovených v uvedenej dohode, za predpokladu, že predmetné obstarávanie patrí do rozsahu pôsobnosti záväzkov Únie v oblasti verejného obstarávania v uvedenej dohode.</w:t>
      </w:r>
    </w:p>
    <w:p>
      <w:pPr>
        <w:pStyle w:val="Heading3"/>
        <w:jc w:val="center"/>
      </w:pPr>
      <w:r>
        <w:t>Článok 71</w:t>
      </w:r>
    </w:p>
    <w:p>
      <w:pPr>
        <w:pStyle w:val="Heading4"/>
        <w:jc w:val="center"/>
      </w:pPr>
      <w:r>
        <w:t>Určenie rozsahu pokrytia v prípade hospodárskych subjektov, tovaru a služieb z tretích krajín, na ktoré sa vzťahuje táto dohoda služby alebo práce</w:t>
      </w:r>
    </w:p>
    <w:p>
      <w:r>
        <w:t>1. Komisia zriadi a bezplatne sprístupní verejne prístupný online nástroj, v ktorom sa komplexným a aktuálnym spôsobom stanovujú záväzky Únie v oblasti verejného obstarávania v medzinárodných dohodách uvedených v článku 70.</w:t>
      </w:r>
    </w:p>
    <w:p>
      <w:r>
        <w:t>2. Obstarávatelia na účely daného postupu obstarávania určia, na ktoré hospodárske subjekty, tovar, služby a práce sa vzťahuje v súlade s článkom 70, a to na základe uplatniteľných medzinárodných dohôd uvedených v online nástroji uvedenom v odseku 1 pre zadané parametre vrátane dotknutého obstarávateľa, predmetu a odhadovanej hodnoty zákazky vo vzťahu k uplatniteľným finančným limitom.</w:t>
      </w:r>
    </w:p>
    <w:p>
      <w:r>
        <w:t>3. Komisia priebežne aktualizuje online nástroj tak, aby v plnej miere a kedykoľvek odrážal záväzky Únie v oblasti verejného obstarávania vrátane:</w:t>
      </w:r>
    </w:p>
    <w:p>
      <w:r>
        <w:t>a) Akty Únie, najmä rozhodnutia Komisie o úplnom alebo čiastočnom vylúčení hospodárskych subjektov, tovaru, služieb alebo prác z tretej krajiny z postupov verejného obstarávania v Únii v súlade s platnými právnymi predpismi EÚ;</w:t>
      </w:r>
    </w:p>
    <w:p>
      <w:r>
        <w:t>b) Opatrenia Únie týkajúce sa hospodárskych subjektov, tovaru, služieb alebo prác, na ktoré sa vzťahuje táto dohoda, v súlade s článkom 72.</w:t>
      </w:r>
    </w:p>
    <w:p>
      <w:r>
        <w:t>c) Opatrenia Únie týkajúce sa hospodárskych subjektov, tovaru, služieb alebo prác nespadajúcich pod režim medzinárodných záväzkov v súlade s článkom 75.</w:t>
      </w:r>
    </w:p>
    <w:p>
      <w:pPr>
        <w:pStyle w:val="Heading3"/>
        <w:jc w:val="center"/>
      </w:pPr>
      <w:r>
        <w:t>Článok 72</w:t>
      </w:r>
    </w:p>
    <w:p>
      <w:pPr>
        <w:pStyle w:val="Heading4"/>
        <w:jc w:val="center"/>
      </w:pPr>
      <w:r>
        <w:t>Obmedzenia týkajúce sa hospodárskych subjektov, tovaru, služieb alebo prác, na ktoré sa vzťahuje táto dohoda</w:t>
      </w:r>
    </w:p>
    <w:p>
      <w:r>
        <w:t>1. Komisia je splnomocnená prijímať delegované akty v súlade s článkom 141 s cieľom zmeniť článok 70 stanovením, že zahrnuté hospodárske subjekty z určitých tretích krajín a/alebo všetok alebo určitý tovar, služby alebo práce, na ktoré sa vzťahuje táto dohoda, z určitých tretích krajín sa nepovažujú za zahrnuté, ak:</w:t>
      </w:r>
    </w:p>
    <w:p>
      <w:r>
        <w:t>a) Komisia na základe faktickej analýzy prístupu na trh zistila, že krajina ich pôvodu neposkytla národné zaobchádzanie týkajúce sa hospodárskych subjektov, tovaru, služieb alebo prác z Únie v rozpore so svojimi záväzkami v oblasti verejného obstarávania v medzinárodnej dohode s Úniou;</w:t>
      </w:r>
    </w:p>
    <w:p>
      <w:r>
        <w:t>b) takéto vylúčenie je odôvodnené s cieľom zabrániť závislostiam alebo akémukoľvek inému vývoju, ktorý môže ohroziť bezpečnosť dodávok príslušného tovaru alebo služieb v Únii; alebo</w:t>
      </w:r>
    </w:p>
    <w:p>
      <w:r>
        <w:t>c) takéto obmedzenie je odôvodnené na základe akejkoľvek inej výnimky podľa uplatniteľnej dohody, najmä pokiaľ ide o ochranu záujmov hospodárskej bezpečnosti.</w:t>
      </w:r>
    </w:p>
    <w:p>
      <w:r>
        <w:t>2. Členské štáty a zainteresované strany môžu kedykoľvek predložiť Komisii údaje o existencii jednej zo situácií uvedených v odseku 1.</w:t>
      </w:r>
    </w:p>
    <w:p>
      <w:pPr>
        <w:pStyle w:val="Heading3"/>
        <w:jc w:val="center"/>
      </w:pPr>
      <w:r>
        <w:t>Článok 73</w:t>
      </w:r>
    </w:p>
    <w:p>
      <w:pPr>
        <w:pStyle w:val="Heading4"/>
        <w:jc w:val="center"/>
      </w:pPr>
      <w:r>
        <w:t>Európske preferenčné požiadavky</w:t>
      </w:r>
    </w:p>
    <w:p>
      <w:r>
        <w:t>1. Obstarávatelia môžu:</w:t>
      </w:r>
    </w:p>
    <w:p>
      <w:r>
        <w:t>a) obmedzujú účasť len na hospodárske subjekty a subdodávateľov s pôvodom v Únii a na tie, na ktoré sa vzťahuje, alebo v prípade skupín hospodárskych subjektov alebo akejkoľvek inej formy spoločnej účasti na skupiny, ktoré sú buď zložené výlučne z hospodárskych subjektov Únie alebo hospodárskych subjektov, na ktoré sa vzťahuje táto dohoda, alebo na skupiny, v ktorých väčšinu, ale nie všetkých členov skupiny, tvoria hospodárske subjekty Únie alebo hospodárske subjekty, na ktoré sa vzťahuje táto dohoda;</w:t>
      </w:r>
    </w:p>
    <w:p>
      <w:r>
        <w:t>b) zamietne ponuku v priebehu postupu, ak ju nepredložia hospodárske subjekty alebo skupiny Únie alebo hospodárske subjekty alebo skupiny, na ktoré sa vzťahuje táto dohoda, vrátane ich subdodávateľov, ako sa uvádza v písmene a).</w:t>
      </w:r>
    </w:p>
    <w:p>
      <w:r>
        <w:t>2. Obstarávatelia môžu vykonať jednu alebo viaceré z týchto činností:</w:t>
      </w:r>
    </w:p>
    <w:p>
      <w:r>
        <w:t>a) požadovať, aby ponúkaný tovar, služby a práce pochádzali z Únie alebo aby išlo o tovar, služby alebo práce, na ktoré sa vzťahuje táto dohoda, a to buď v plnom rozsahu, alebo do určitej miery, alebo v prípade konkrétnych komponentov, ktoré sa podieľajú na konkurenčnom vzťahu s obstarávaným tovarom, službami alebo prácami;</w:t>
      </w:r>
    </w:p>
    <w:p>
      <w:r>
        <w:t>b) výlučne na účely vyhodnotenia a zoradenia ponúk vo fáze zadávania zákazky bez toho, aby to malo vplyv na cenu splatnú na základe zákazky, uplatniť percentuálne zníženie ceny ponuky alebo pridelenie dodatočných bodov za zadanie zákazky, ak:</w:t>
      </w:r>
    </w:p>
    <w:p>
      <w:r>
        <w:t>i) ponuku predkladajú len hospodárske subjekty a subdodávatelia Únie alebo hospodárske subjekty a subdodávatelia, na ktorých sa vzťahuje táto dohoda, alebo v prípade skupín hospodárskych subjektov alebo akejkoľvek inej formy spoločnej účasti skupiny pozostávajúcej výlučne z takýchto hospodárskych subjektov, alebo skupiny, v ktorých väčšinu, ale nie všetkých členov skupiny, tvoria hospodárske subjekty Únie alebo hospodárske subjekty, na ktoré sa vzťahuje táto dohoda; alebo</w:t>
      </w:r>
    </w:p>
    <w:p>
      <w:r>
        <w:t>ii) ponuka obsahuje vyšší podiel tovaru, služieb alebo prác Únie alebo tovaru, služieb alebo prác upravených touto dohodou v porovnaní s ostatnými predloženými ponukami;</w:t>
      </w:r>
    </w:p>
    <w:p>
      <w:r>
        <w:t>c) zamietne ponuku, ak je hodnota tovaru, služieb alebo prác Únie alebo tovaru, služieb alebo prác upravených touto ponukou nižšia ako 50 % celkovej odhadovanej hodnoty ponuky.</w:t>
      </w:r>
    </w:p>
    <w:p>
      <w:r>
        <w:t>3. Opatrenia uvedené v odseku 2 sa môžu uplatniť len vtedy, ak ich obstarávateľ jasne uviedol vo verejnom zhrnutí hospodárskej súťaže. V zhrnutí pre verejné obstarávanie v oblasti hospodárskej súťaže sa uvedie tovar, služby alebo práce, ktoré musia mať pôvod v Únii alebo v oblasti, na ktorú sa vzťahuje táto dohoda, ako aj percentuálny podiel zníženia alebo pridelenia bodov za zadanie zákazky spolu so zodpovedajúcou hodnotou, ktorú obstarávateľ použije na hodnotenie a zoradenie ponúk vo fáze zadávania zákazky.</w:t>
      </w:r>
    </w:p>
    <w:p>
      <w:r>
        <w:t>4. Obstarávatelia oznámia národnému koordinačnému orgánu určenému podľa článku 138 akékoľvek náznaky obchádzania opatrení prijatých podľa tohto článku. Národný koordinačný orgán informuje Komisiu o všetkých systémových nedostatkoch zistených na základe týchto oznámení.</w:t>
      </w:r>
    </w:p>
    <w:p>
      <w:pPr>
        <w:pStyle w:val="Heading3"/>
        <w:jc w:val="center"/>
      </w:pPr>
      <w:r>
        <w:t>Článok 74</w:t>
      </w:r>
    </w:p>
    <w:p>
      <w:pPr>
        <w:pStyle w:val="Heading4"/>
        <w:jc w:val="center"/>
      </w:pPr>
      <w:r>
        <w:t>Pôvod</w:t>
      </w:r>
    </w:p>
    <w:p>
      <w:r>
        <w:t>1. Pôvod hospodárskych subjektov alebo subdodávateľov sa určuje v súlade s článkom 3 ods. 1 nariadenia (EÚ) 2022/1031[55].</w:t>
      </w:r>
    </w:p>
    <w:p>
      <w:r>
        <w:t>2. Pôvod tovaru sa určuje v súlade s hlavou II kapitolou 2 oddielom 1 nariadenia (EÚ) č. 952/2013 [56].</w:t>
      </w:r>
    </w:p>
    <w:p>
      <w:r>
        <w:t>3. Pôvod služieb sa určí na základe pôvodu hospodárskeho subjektu alebo subdodávateľa poskytujúceho službu.</w:t>
      </w:r>
    </w:p>
    <w:p>
      <w:r>
        <w:t>4. Celkový pôvod prác sa určí podľa pôvodu hospodárskeho subjektu alebo subdodávateľa, ktorý ich poskytuje. Pokiaľ ide o požiadavky týkajúce sa európskej preferencie, kupujúci môžu samostatne určiť pôvod tovaru použitého ako súčasť prác podľa odseku 2.</w:t>
      </w:r>
    </w:p>
    <w:p>
      <w:r>
        <w:rPr>
          <w:sz w:val="16"/>
        </w:rPr>
        <w:t>55 Nariadenie Európskeho parlamentu a Rady (EÚ) 2022/1031 z 23. júna 2022 o prístupe hospodárskych subjektov, tovaru a služieb z tretích krajín na trhy Únie s verejným obstarávaním a koncesiami a o postupoch podporujúcich rokovania o prístupe hospodárskych subjektov, tovaru a služieb z Únie na trhy tretích krajín s verejným obstarávaním a koncesiami (nástroj medzinárodného obstarávania – NMO) (Ú. v. EÚ L 173, 30.6.2022, s. 1, ELI: http://data.europa.eu/eli/reg/2022/1031/oj).</w:t>
      </w:r>
    </w:p>
    <w:p>
      <w:r>
        <w:rPr>
          <w:sz w:val="16"/>
        </w:rPr>
        <w:t>56 Nariadenie Európskeho parlamentu a Rady (EÚ) č. 952/2013 z 9. októbra 2013, ktorým sa ustanovuje Colný kódex Únie (prepracované znenie) (Ú. v. EÚ L 269, 10.10.2013, s. 1, ELI: http://data.europa.eu/eli/reg/2013/952/oj).</w:t>
      </w:r>
    </w:p>
    <w:p>
      <w:pPr>
        <w:pStyle w:val="Heading3"/>
        <w:jc w:val="center"/>
      </w:pPr>
      <w:r>
        <w:t>Článok 75</w:t>
      </w:r>
    </w:p>
    <w:p>
      <w:pPr>
        <w:pStyle w:val="Heading4"/>
        <w:jc w:val="center"/>
      </w:pPr>
      <w:r>
        <w:t>Obmedzenia Únie pre nezahrnuté hospodárske subjekty, tovar, služby a práce z tretích krajín</w:t>
      </w:r>
    </w:p>
    <w:p>
      <w:r>
        <w:t>Komisia je splnomocnená prijímať delegované akty v súlade s článkom 141 s cieľom zmeniť článok 73 tak, aby sa od obstarávateľov vyžadovalo uplatňovanie ktorejkoľvek z požiadaviek týkajúcich sa európskej preferencie stanovených v článku 73 vo vzťahu k hospodárskym subjektom a subdodávateľom, tovarom, službám a prácam, na ktoré sa nevzťahuje článok 70, ak je to v záujme Únie.</w:t>
      </w:r>
    </w:p>
    <w:p>
      <w:pPr>
        <w:pStyle w:val="Heading3"/>
        <w:jc w:val="center"/>
      </w:pPr>
      <w:r>
        <w:t>Článok 76</w:t>
      </w:r>
    </w:p>
    <w:p>
      <w:pPr>
        <w:pStyle w:val="Heading4"/>
        <w:jc w:val="center"/>
      </w:pPr>
      <w:r>
        <w:t>Výnimky</w:t>
      </w:r>
    </w:p>
    <w:p>
      <w:r>
        <w:t>Obstarávatelia sa môžu rozhodnúť neuplatňovať požiadavky týkajúce sa európskych preferencií vrátane požiadaviek uvedených v delegovaných aktoch prijatých podľa článku 75, ak:</w:t>
      </w:r>
    </w:p>
    <w:p>
      <w:r>
        <w:t>a) príslušné zákazky sa riadia článkom 48;</w:t>
      </w:r>
    </w:p>
    <w:p>
      <w:r>
        <w:t>b) požadované výrobky alebo služby nemôže dodávať hospodársky subjekt Únie ani hospodársky subjekt, na ktorý sa vzťahuje táto dohoda, a neexistuje žiadna primeraná alternatíva alebo náhrada;</w:t>
      </w:r>
    </w:p>
    <w:p>
      <w:r>
        <w:t>c) neboli predložené žiadne vhodné ponuky ani žiadosti o účasť, a to ani v reakcii na podobný postup verejného obstarávania, ktorý začal ten istý obstarávateľ v dvoch rokoch pred začatím plánovaného nového postupu verejného obstarávania; alebo</w:t>
      </w:r>
    </w:p>
    <w:p>
      <w:r>
        <w:t>d) uplatňovanie takýchto európskych preferenčných požiadaviek by znamenalo, že obstarávateľ by musel nadobudnúť tovar, služby alebo práce za neprimerané náklady.</w:t>
      </w:r>
    </w:p>
    <w:p>
      <w:pPr>
        <w:pStyle w:val="Heading3"/>
        <w:jc w:val="center"/>
      </w:pPr>
      <w:r>
        <w:t>Článok 77</w:t>
      </w:r>
    </w:p>
    <w:p>
      <w:pPr>
        <w:pStyle w:val="Heading4"/>
        <w:jc w:val="center"/>
      </w:pPr>
      <w:r>
        <w:t>Európska preferencia v odvetvových právnych predpisoch Únie</w:t>
      </w:r>
    </w:p>
    <w:p>
      <w:r>
        <w:t>Ak právne predpisy Únie obsahujú ustanovenia, ktorými sa obmedzujú alebo stanovujú podmienky účasti na postupoch verejného obstarávania alebo ktorými sa uprednostňujú hospodárske subjekty, tovar, služby alebo práce v závislosti od ich pôvodu, uplatňujú sa pravidlá stanovené v tejto kapitole, pokiaľ sa v príslušných právnych predpisoch Únie nestanovuje inak.</w:t>
      </w:r>
    </w:p>
    <w:p>
      <w:pPr>
        <w:pStyle w:val="Heading2"/>
        <w:jc w:val="center"/>
      </w:pPr>
      <w:r>
        <w:t>Hlava III</w:t>
      </w:r>
    </w:p>
    <w:p>
      <w:pPr>
        <w:pStyle w:val="Heading2"/>
        <w:jc w:val="center"/>
      </w:pPr>
      <w:r>
        <w:t>Horizontálne ustanovenia</w:t>
      </w:r>
    </w:p>
    <w:p>
      <w:pPr>
        <w:pStyle w:val="Heading2"/>
        <w:jc w:val="center"/>
      </w:pPr>
      <w:r>
        <w:t>Kapitola 1</w:t>
      </w:r>
    </w:p>
    <w:p>
      <w:pPr>
        <w:pStyle w:val="Heading2"/>
        <w:jc w:val="center"/>
      </w:pPr>
      <w:r>
        <w:t>Vylúčené a zmiešané zákazky</w:t>
      </w:r>
    </w:p>
    <w:p>
      <w:pPr>
        <w:pStyle w:val="Heading3"/>
        <w:jc w:val="center"/>
      </w:pPr>
      <w:r>
        <w:t>Článok 78</w:t>
      </w:r>
    </w:p>
    <w:p>
      <w:pPr>
        <w:pStyle w:val="Heading4"/>
        <w:jc w:val="center"/>
      </w:pPr>
      <w:r>
        <w:t>Zákazky v oblasti obrany a bezpečnosti</w:t>
      </w:r>
    </w:p>
    <w:p>
      <w:r>
        <w:t>1. Toto nariadenie sa nevzťahuje na verejné zákazky, ktorých predmet patrí do rozsahu pôsobnosti smernice 2009/81/ES, vrátane zákaziek pod finančným limitom stanoveným v článku 8 uvedenej smernice a zákaziek, na ktoré sa uvedená smernica nevzťahuje podľa jej článku 12 alebo 13.</w:t>
      </w:r>
    </w:p>
    <w:p>
      <w:r>
        <w:t>2. Toto nariadenie sa neuplatňuje na verejné zákazky, ktoré nie sú vyňaté v súlade s odsekom 1, pokiaľ ochranu základných bezpečnostných záujmov členského štátu nemožno zaručiť menej rušivými opatreniami, najmä opatreniami stanovenými v hlave II kapitole 4 tejto časti, alebo požiadavkami zameranými na ochranu dôverného charakteru informácií, ktoré obstarávateľ sprístupňuje v rámci postupu zadávania zákazky, ako sa stanovuje v tomto nariadení.</w:t>
      </w:r>
    </w:p>
    <w:p>
      <w:r>
        <w:t>3. Okrem toho v súlade s článkom 346 ods. 1 písm. a) zmluvy sa toto nariadenie neuplatňuje na verejné zákazky, ktoré inak nie sú vyňaté podľa odseku 1 tohto článku, pokiaľ by uplatňovanie tohto nariadenia zaväzovalo členský štát poskytovať informácie, ktorých zverejnenie je podľa jeho názoru v rozpore s jeho základnými bezpečnostnými záujmami.</w:t>
      </w:r>
    </w:p>
    <w:p>
      <w:r>
        <w:t>4. Ak sa obstarávanie a plnenie verejnej zákazky vyhlási za tajné alebo ho musia sprevádzať osobitné bezpečnostné opatrenia v súlade so zákonmi, inými právnymi predpismi alebo správnymi opatreniami platnými v členskom štáte, toto nariadenie sa neuplatňuje za predpokladu, že členský štát stanovil, že dotknuté základné bezpečnostné záujmy nemožno zaručiť menej rušivými opatreniami, ako sú opatrenia uvedené v odseku 2.</w:t>
      </w:r>
    </w:p>
    <w:p>
      <w:pPr>
        <w:pStyle w:val="Heading3"/>
        <w:jc w:val="center"/>
      </w:pPr>
      <w:r>
        <w:t>Článok 79</w:t>
      </w:r>
    </w:p>
    <w:p>
      <w:pPr>
        <w:pStyle w:val="Heading4"/>
        <w:jc w:val="center"/>
      </w:pPr>
      <w:r>
        <w:t>Vylúčené obstarávanie v oblasti výskumu a vývoja</w:t>
      </w:r>
    </w:p>
    <w:p>
      <w:r>
        <w:t>Toto nariadenie sa nevzťahuje na verejné obstarávanie v prípade verejných zákaziek, ktoré obsahujú výlučne služby výskumu a vývoja v zmysle vymedzenia v článku 6 bode 16.</w:t>
      </w:r>
    </w:p>
    <w:p>
      <w:r>
        <w:t>Prvá veta sa nevzťahuje na obstarávanie verejných zákaziek, ktoré okrem služieb výskumu a vývoja vymedzených v článku 6 bode 16 obsahujú aj iné prvky patriace do rozsahu pôsobnosti tohto nariadenia, najmä ak je testovanie a validácia súčasťou inovačného postupu podľa hlavy I kapitoly 4 tejto časti alebo ak je výskum a vývoj integrovaný ako inovačná technika vo verejnom obstarávaní, ktoré patrí do rozsahu pôsobnosti tohto nariadenia podľa článku 61.</w:t>
      </w:r>
    </w:p>
    <w:p>
      <w:pPr>
        <w:pStyle w:val="Heading3"/>
        <w:jc w:val="center"/>
      </w:pPr>
      <w:r>
        <w:t>Článok 80</w:t>
      </w:r>
    </w:p>
    <w:p>
      <w:pPr>
        <w:pStyle w:val="Heading4"/>
        <w:jc w:val="center"/>
      </w:pPr>
      <w:r>
        <w:t>Zákazky zadávané kontrolovaným subjektom</w:t>
      </w:r>
    </w:p>
    <w:p>
      <w:r>
        <w:t>1. Toto nariadenie sa nevzťahuje na verejné zákazky zadávané obstarávateľmi právnickej osobe, ktorá sa riadi súkromným alebo verejným právom, za predpokladu, že v čase zadávania sú splnené všetky tieto podmienky:</w:t>
      </w:r>
    </w:p>
    <w:p>
      <w:r>
        <w:t>a) obstarávateľ vykonáva nad dotknutou právnickou osobou kontrolu podobnú kontrole, ktorú vykonáva nad vlastnými organizačnými zložkami, čo znamená, že má rozhodujúci vplyv na strategické ciele, ako aj na významné rozhodnutia kontrolovanej právnickej osoby; takúto kontrolu môže vykonávať aj iná právnická osoba, ktorá je sama kontrolovaná rovnakým spôsobom obstarávateľom;</w:t>
      </w:r>
    </w:p>
    <w:p>
      <w:r>
        <w:t>b) viac ako 80 % činností kontrolovanej právnickej osoby sa vykonáva pri plnení úloh, ktorými ju poveril kontrolujúci obstarávateľ alebo iné právnické osoby kontrolované týmto obstarávateľom; podielu a</w:t>
      </w:r>
    </w:p>
    <w:p>
      <w:r>
        <w:t>c) v kontrolovanej právnickej osobe neexistuje žiadna priama účasť súkromného kapitálu s výnimkou nekontrolných a neblokujúcich foriem súkromnej kapitálovej účasti, ktoré sa vyžadujú podľa ustanovení vnútroštátnych právnych predpisov v súlade so zmluvami a ktorými sa nevykonáva rozhodujúci vplyv na kontrolovanú právnickú osobu.</w:t>
      </w:r>
    </w:p>
    <w:p>
      <w:r>
        <w:t>2. Odsek 1 sa uplatňuje aj vtedy, ak kontrolovaná právnická osoba, ktorá je obstarávateľom, zadá zákazku svojmu kontrolujúcemu obstarávateľovi alebo inej právnickej osobe kontrolovanej tým istým obstarávateľom za predpokladu, že v právnickej osobe, ktorej sa zadáva verejná zákazka, nie je žiadna priama účasť súkromného kapitálu.</w:t>
      </w:r>
    </w:p>
    <w:p>
      <w:r>
        <w:t>3. Toto nariadenie sa neuplatňuje, ak obstarávateľ, ktorý nad právnickou osobou, ktorá sa spravuje súkromným alebo verejným právom, nevykonáva kontrolu v zmysle odseku 1, zadá verejnú zákazku tejto právnickej osobe, ak sú v čase zadania splnené všetky tieto podmienky:</w:t>
      </w:r>
    </w:p>
    <w:p>
      <w:r>
        <w:t>a) obstarávateľ vykonáva spoločne s inými obstarávateľmi kontrolu nad touto právnickou osobou, ktorá je podobná kontrole, ktorú vykonávajú nad svojimi vlastnými organizačnými zložkami, čo znamená:</w:t>
      </w:r>
    </w:p>
    <w:p>
      <w:r>
        <w:t>i) orgány kontrolovanej právnickej osoby s rozhodovacími právomocami pozostávajú zo zástupcov všetkých zúčastnených obstarávateľov, zatiaľ čo jednotliví zástupcovia môžu zastupovať niekoľkých alebo všetkých zúčastnených obstarávateľov;</w:t>
      </w:r>
    </w:p>
    <w:p>
      <w:r>
        <w:t>ii) títo obstarávatelia sú schopní spoločne uplatňovať rozhodujúci vplyv na strategické ciele a významné rozhodnutia kontrolovanej právnickej osoby;</w:t>
      </w:r>
    </w:p>
    <w:p>
      <w:r>
        <w:t>kontrolovaná právnická osoba nesleduje žiadne záujmy, ktoré sú v rozpore so záujmami kontrolujúcich obstarávateľov;</w:t>
      </w:r>
    </w:p>
    <w:p>
      <w:r>
        <w:t>b) viac ako 80 % činností danej právnickej osoby sa vykonáva pri plnení úloh, ktorými ju poverili kontrolujúci obstarávatelia alebo iné právnické osoby kontrolované tými istými obstarávateľmi; podielu a</w:t>
      </w:r>
    </w:p>
    <w:p>
      <w:r>
        <w:t>c) v kontrolovanej právnickej osobe neexistuje žiadna priama účasť súkromného kapitálu s výnimkou nekontrolných a neblokujúcich foriem súkromnej kapitálovej účasti, ktoré sa vyžadujú podľa ustanovení vnútroštátnych právnych predpisov v súlade so zmluvami a ktorými sa nevykonáva rozhodujúci vplyv na kontrolovanú právnickú osobu.</w:t>
      </w:r>
    </w:p>
    <w:p>
      <w:r>
        <w:t>4. Pokiaľ ide o percentuálny podiel činností uvedených v odseku 1 prvom pododseku písm. b) a odseku 3 prvom pododseku písm. b), zohľadní sa priemerný celkový obrat alebo, ak obrat primerane neodráža objem vykonaných činností, iný objektívny a overiteľný kvantitatívny ukazovateľ týchto činností, ako sú vzniknuté náklady alebo celkový získaný príjem, za tri roky predchádzajúce zadaniu zákazky.</w:t>
      </w:r>
    </w:p>
    <w:p>
      <w:r>
        <w:t>Ak z dôvodu dátumu založenia alebo začatia činnosti príslušnej právnickej osoby alebo obstarávateľa alebo z dôvodu reorganizácie jej činností obrat alebo alternatívne opatrenia založené na činnosti, ako sú náklady, buď nie sú k dispozícii za predchádzajúce tri roky, alebo už nie sú relevantné, stačí preukázať, najmä prostredníctvom podnikateľských plánov, že meranie činnosti je dôveryhodné.</w:t>
      </w:r>
    </w:p>
    <w:p>
      <w:r>
        <w:t>5. Členské štáty môžu zachovať alebo prijať prísnejšie vnútroštátne ustanovenia o zákazkách vylúčených podľa tohto článku.</w:t>
      </w:r>
    </w:p>
    <w:p>
      <w:r>
        <w:t>6. Vylúčenia uvedené v tomto článku sa neuplatňujú, ak sa verejná zákazka zadá subdodávateľom v celom rozsahu bez postupu verejného obstarávania.</w:t>
      </w:r>
    </w:p>
    <w:p>
      <w:pPr>
        <w:pStyle w:val="Heading3"/>
        <w:jc w:val="center"/>
      </w:pPr>
      <w:r>
        <w:t>Článok 81</w:t>
      </w:r>
    </w:p>
    <w:p>
      <w:pPr>
        <w:pStyle w:val="Heading4"/>
        <w:jc w:val="center"/>
      </w:pPr>
      <w:r>
        <w:t>Spolupráca v rámci verejného sektora</w:t>
      </w:r>
    </w:p>
    <w:p>
      <w:r>
        <w:t>1. Toto nariadenie sa nevzťahuje na zákazky uzavreté výlučne medzi dvoma alebo viacerými verejnými obstarávateľmi vrátane prípadov, keď vykonávajú činnosti podľa článkov 12 až 18, a to za predpokladu, že v čase zadania zákazky:</w:t>
      </w:r>
    </w:p>
    <w:p>
      <w:r>
        <w:t>a) výslednou zmluvou sa zakladá alebo vykonáva vzťah spolupráce medzi zúčastnenými verejnými obstarávateľmi s cieľom zabezpečiť, aby sa služby vo verejnom záujme, ktoré musia poskytovať, poskytovali v záujme dosiahnutia ich spoločných cieľov;</w:t>
      </w:r>
    </w:p>
    <w:p>
      <w:r>
        <w:t>b) uskutočňovanie takejto spolupráce sa riadi výlučne aspektmi týkajúcimi sa verejného záujmu;</w:t>
      </w:r>
    </w:p>
    <w:p>
      <w:r>
        <w:t>c) zúčastnení verejní obstarávatelia vykonávajú na otvorenom trhu menej ako 20 % činností, ktorých sa spolupráca týka.</w:t>
      </w:r>
    </w:p>
    <w:p>
      <w:r>
        <w:t>2. Vzťah založený na spolupráci podľa odseku 1 písm. a) sa môže vzťahovať na všetky druhy činností v akejkoľvek právnej forme alebo dočasnej štruktúre alebo dohode, ale vyžaduje si skutočnú spoluprácu všetkých strán prostredníctvom účinných príspevkov, ktoré môžu byť rovnaké alebo doplnkové, alebo sa môžu líšiť veľkosťou alebo povahou, ale nie sú obmedzené na spoločné znášanie nákladov.</w:t>
      </w:r>
    </w:p>
    <w:p>
      <w:r>
        <w:t>3. Článok 80 ods. 4 sa uplatňuje v súvislosti s percentuálnym podielom činností uvedených v odseku 1 písm. c) tohto článku.</w:t>
      </w:r>
    </w:p>
    <w:p>
      <w:r>
        <w:t>4. Vylúčenie uvedené v tomto článku sa neuplatňuje, ak sa riešenia poskytnuté na základe výslednej zmluvy zadajú subdodávateľom v celom rozsahu bez postupu verejného obstarávania.</w:t>
      </w:r>
    </w:p>
    <w:p>
      <w:pPr>
        <w:pStyle w:val="Heading3"/>
        <w:jc w:val="center"/>
      </w:pPr>
      <w:r>
        <w:t>Článok 82</w:t>
      </w:r>
    </w:p>
    <w:p>
      <w:pPr>
        <w:pStyle w:val="Heading4"/>
        <w:jc w:val="center"/>
      </w:pPr>
      <w:r>
        <w:t>Miestna a regionálna administratívna spolupráca</w:t>
      </w:r>
    </w:p>
    <w:p>
      <w:r>
        <w:t>1. Toto nariadenie sa neuplatňuje, ak si regionálne alebo miestne orgány navzájom poveria plnením úloh, ktoré im prináležia, alebo na tento účel navzájom využívajú vlastné zdroje, a to aj výmenou len za odmenu, za predpokladu, že túto úlohu vykonávajú z vlastných zdrojov. Na účely tohto článku vlastné zdroje nezahŕňajú tovar, ktorý ešte nebol nadobudnutý, ani služby, ktoré jednému zo zúčastnených miestnych alebo regionálnych orgánov poskytujú hospodárske subjekty alebo právnické osoby poverené podľa článku 80 ods. 1, 2 a 3.</w:t>
      </w:r>
    </w:p>
    <w:p>
      <w:r>
        <w:t>2. Na účely tohto článku pojem „regionálne orgány“ zahŕňa orgány, ktorých neúplný zoznam je uvedený v NUTS 1 a NUTS 2, ako sa uvádza v nariadení (ES) č. 1059/2003 [57], zatiaľ čo pojem „miestne orgány“ zahŕňa všetky orgány administratívnych jednotiek, ktoré patria do NUTS 3, a menších administratívnych jednotiek, ako sa uvádza v uvedenom nariadení.</w:t>
      </w:r>
    </w:p>
    <w:p>
      <w:r>
        <w:rPr>
          <w:sz w:val="16"/>
        </w:rPr>
        <w:t>57 Nariadenie Európskeho parlamentu a Rady (ES) č. 1059/2003 z 26. mája 2003 o zostavení spoločnej nomenklatúry územných jednotiek pre štatistické účely (NUTS) (Ú. v. EÚ L 154, 21.6.2003, s. 1, ELI: http://data.europa.eu/eli/reg/2003/1059/oj).</w:t>
      </w:r>
    </w:p>
    <w:p>
      <w:pPr>
        <w:pStyle w:val="Heading3"/>
        <w:jc w:val="center"/>
      </w:pPr>
      <w:r>
        <w:t>Článok 83</w:t>
      </w:r>
    </w:p>
    <w:p>
      <w:pPr>
        <w:pStyle w:val="Heading4"/>
        <w:jc w:val="center"/>
      </w:pPr>
      <w:r>
        <w:t>Zákazky zadané prepojeným podnikom</w:t>
      </w:r>
    </w:p>
    <w:p>
      <w:r>
        <w:t>1. Toto nariadenie sa neuplatňuje, ak sektoroví obstarávatelia zadajú verejnú zákazku jedným z týchto subjektov:</w:t>
      </w:r>
    </w:p>
    <w:p>
      <w:r>
        <w:t>a) sektorový obstarávateľ pridruženému podniku;</w:t>
      </w:r>
    </w:p>
    <w:p>
      <w:r>
        <w:t>b) spoločným podnikom, ktorý vytvorilo výlučne niekoľko sektorových obstarávateľov na účely vykonávania činností opísaných v článkoch 12 až 18, podniku, ktorý je pridružený k jednému z týchto sektorových obstarávateľov.</w:t>
      </w:r>
    </w:p>
    <w:p>
      <w:r>
        <w:t>2. Odsek 1 sa uplatňuje za predpokladu, že aspoň 80 % priemerného celkového obratu pridruženého podniku za predchádzajúce tri roky pochádza z poskytovania služieb, dodávok tovaru alebo prác sektorovému obstarávateľovi alebo iným podnikom, ku ktorým je pridružený. Ak nie je z dôvodu dátumu založenia prepojeného podniku alebo začatia vykonávania činnosti k dispozícii obrat za predchádzajúce tri roky, postačí, ak tento podnik preukáže, najmä prostredníctvom podnikateľských plánov, že obrat je vierohodný.</w:t>
      </w:r>
    </w:p>
    <w:p>
      <w:r>
        <w:t>Ak rovnaké alebo podobné služby, tovar alebo práce poskytuje viac ako jeden podnik pridružený k sektorovému obstarávateľovi, s ktorým tvoria skupinu podnikov, percentuálne podiely sa vypočítajú s prihliadnutím na celkový obrat vyplývajúci z poskytovania služieb, tovaru alebo prác týmito prepojenými podnikmi.</w:t>
      </w:r>
    </w:p>
    <w:p>
      <w:r>
        <w:t>3. Na účely tohto článku je „pridružený podnik“ každý podnik, ktorý spĺňa ktorúkoľvek z týchto požiadaviek:</w:t>
      </w:r>
    </w:p>
    <w:p>
      <w:r>
        <w:t>a) ktorej ročná účtovná závierka sa konsoliduje s ročnou účtovnou závierkou sektorového obstarávateľa v súlade s požiadavkami stanovenými v smernici 2013/34/EÚ[58];</w:t>
      </w:r>
    </w:p>
    <w:p>
      <w:r>
        <w:t>b) v prípade subjektov, na ktoré sa nevzťahuje smernica 2013/34/EÚ, všetky podniky, ktoré spĺňajú jednu z týchto podmienok:</w:t>
      </w:r>
    </w:p>
    <w:p>
      <w:r>
        <w:t>i) priamo alebo nepriamo podliehajú dominantnému vplyvu sektorového obstarávateľa;</w:t>
      </w:r>
    </w:p>
    <w:p>
      <w:r>
        <w:t>ii) majú dominantný vplyv na sektorového obstarávateľa;</w:t>
      </w:r>
    </w:p>
    <w:p>
      <w:r>
        <w:t>spolu s sektorovým obstarávateľom podliehajú dominantnému vplyvu iného podniku na základe vlastníctva, finančnej účasti alebo pravidiel, ktorými sa riadi.</w:t>
      </w:r>
    </w:p>
    <w:p>
      <w:r>
        <w:t>4. Na účely tohto článku má „dominantný vplyv“ rovnaký význam ako vplyv stanovený v článku 8 ods. 2.</w:t>
      </w:r>
    </w:p>
    <w:p>
      <w:r>
        <w:t>Komisia si môže vyžiadať dôkazy, ktoré preukazujú, že vzťah medzi podnikom, ktorému bola zákazka zadaná, a sektorovým obstarávateľom spĺňa požiadavky stanovené v odsekoch 1, 2 a 3.</w:t>
      </w:r>
    </w:p>
    <w:p>
      <w:r>
        <w:rPr>
          <w:sz w:val="16"/>
        </w:rPr>
        <w:t>58 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29.6.2013, s. 19, ELI: http://data.europa.eu/eli/dir/2013/34/oj).</w:t>
      </w:r>
    </w:p>
    <w:p>
      <w:pPr>
        <w:pStyle w:val="Heading3"/>
        <w:jc w:val="center"/>
      </w:pPr>
      <w:r>
        <w:t>Článok 84</w:t>
      </w:r>
    </w:p>
    <w:p>
      <w:pPr>
        <w:pStyle w:val="Heading4"/>
        <w:jc w:val="center"/>
      </w:pPr>
      <w:r>
        <w:t>Zákazky zadávané v spoločnom podniku</w:t>
      </w:r>
    </w:p>
    <w:p>
      <w:r>
        <w:t>1. Toto nariadenie sa nevzťahuje na verejné zákazky zadávané:</w:t>
      </w:r>
    </w:p>
    <w:p>
      <w:r>
        <w:t>a) spoločný podnik, ktorý vytvorilo výlučne niekoľko sektorových obstarávateľov na účely vykonávania činností opísaných v článkoch 12 až 18, jednému z týchto sektorových obstarávateľov za predpokladu, že spoločný podnik bol zriadený s cieľom vykonávať príslušnú činnosť počas obdobia najmenej troch rokov a že v akte, ktorým sa zakladá spoločný podnik, sa stanovuje, že sektoroví obstarávatelia, ktorí ho tvoria, budú jeho súčasťou aspoň počas rovnakého obdobia;</w:t>
      </w:r>
    </w:p>
    <w:p>
      <w:r>
        <w:t>b) sektorový obstarávateľ, ktorý tvorí súčasť spoločného podniku uvedeného v písmene a) tohto spoločného podniku.</w:t>
      </w:r>
    </w:p>
    <w:p>
      <w:r>
        <w:t>2. Komisia si môže vyžiadať dôkazy, ktoré preukazujú, že vzťah medzi spoločným podnikom, ktorému sa zadávajú zákazky, a sektorovým obstarávateľom spĺňa požiadavky stanovené v odseku 1.</w:t>
      </w:r>
    </w:p>
    <w:p>
      <w:pPr>
        <w:pStyle w:val="Heading3"/>
        <w:jc w:val="center"/>
      </w:pPr>
      <w:r>
        <w:t>Článok 85</w:t>
      </w:r>
    </w:p>
    <w:p>
      <w:pPr>
        <w:pStyle w:val="Heading4"/>
        <w:jc w:val="center"/>
      </w:pPr>
      <w:r>
        <w:t>Iné vylúčené verejné zákazky</w:t>
      </w:r>
    </w:p>
    <w:p>
      <w:r>
        <w:t>1. Toto nariadenie sa neuplatňuje na:</w:t>
      </w:r>
    </w:p>
    <w:p>
      <w:r>
        <w:t>a) zmluvy o službách vo verejnom záujme, ktoré obstarávateľ zadal inému obstarávateľovi alebo združeniu obstarávateľov na základe výlučného práva, ktoré im priznáva zákon, iný právny predpis alebo uverejnené správne opatrenie, ktoré je v súlade so zmluvou;</w:t>
      </w:r>
    </w:p>
    <w:p>
      <w:r>
        <w:t>b) verejné zákazky, ktorých hlavným účelom je umožniť obstarávateľom poskytovať alebo využívať verejné elektronické komunikačné siete alebo poskytovať verejnosti jednu alebo viacero elektronických komunikačných služieb; na účely tohto článku majú pojmy „verejná elektronická komunikačná sieť“ a „elektronická komunikačná služba“ rovnaký význam ako v smernici 2018/1972 [59];</w:t>
      </w:r>
    </w:p>
    <w:p>
      <w:r>
        <w:t>c) verejné zákazky, ktoré sa musia organizovať v súlade s inými postupmi obstarávania, ako sú postupy stanovené v tomto nariadení, ak sa takéto postupy zaviedli:</w:t>
      </w:r>
    </w:p>
    <w:p>
      <w:r>
        <w:t>i) medzinárodnou dohodou v súlade so zmluvami a týkajú sa vykonávania spoločného projektu, ktorý si vyžaduje spoločné obstarávanie;</w:t>
      </w:r>
    </w:p>
    <w:p>
      <w:r>
        <w:t>ii) medzinárodnou organizáciou alebo</w:t>
      </w:r>
    </w:p>
    <w:p>
      <w:r>
        <w:t>iii) medzinárodnou finančnou inštitúciou, ktorá plne financuje dotknutý projekt; ak je dotknutý projekt z väčšej časti spolufinancovaný takouto inštitúciou, zmluvné strany sa dohodnú, ktoré pravidlá obstarávania sa uplatnia;</w:t>
      </w:r>
    </w:p>
    <w:p>
      <w:r>
        <w:t>d) nadobudnutie alebo prenájom pozemkov, existujúcich budov alebo iného nehnuteľného majetku, alebo práv k nim akýmikoľvek finančnými prostriedkami;</w:t>
      </w:r>
    </w:p>
    <w:p>
      <w:r>
        <w:t>e) nadobudnutie, vývoj, produkcia alebo koprodukcia programového materiálu určeného pre mediálne služby v zmysle nariadenia (EÚ) 2024/1083[60];</w:t>
      </w:r>
    </w:p>
    <w:p>
      <w:r>
        <w:t>f) právne služby, ktoré si vyžadujú právomoc vykonávať právnu prax, ako napríklad súdne spory alebo formálne zastupovanie v súdnom konaní, alebo ktoré súvisia s výkonom verejnej funkcie, vrátane služieb osvedčovania a autentifikácie dokumentov, ktoré musia poskytovať notári;</w:t>
      </w:r>
    </w:p>
    <w:p>
      <w:r>
        <w:t>g) rozhodcovské a zmierovacie služby;</w:t>
      </w:r>
    </w:p>
    <w:p>
      <w:r>
        <w:t>h) finančné služby v súvislosti s poskytovaním investičných služieb alebo vykonávaním investičných činností v zmysle smernice 2014/65/EÚ[61] a nariadenia (EÚ) č. 600/2014[62], správou referenčných hodnôt v zmysle nariadenia (EÚ) 2016/1011[63], službami centrálnych bánk a operáciami vykonávanými s Európskym nástrojom finančnej stability a Európskym mechanizmom pre stabilitu;</w:t>
      </w:r>
    </w:p>
    <w:p>
      <w:r>
        <w:t>i) služby oceňovania uvedené v článkoch 36 a 74 smernice 2014/59/EÚ[64];</w:t>
      </w:r>
    </w:p>
    <w:p>
      <w:r>
        <w:t>j) granty, financovanie, investície alebo pôžičky bez ohľadu na to, či súvisia s emisiou, predajom, nákupom alebo prevodom cenných papierov alebo iných finančných nástrojov;</w:t>
      </w:r>
    </w:p>
    <w:p>
      <w:r>
        <w:t>k) služby civilnej obrany, civilnej ochrany a prevencie nebezpečenstva, ktoré poskytujú neziskové organizácie alebo združenia a na ktoré sa vzťahujú kódy CPV 75250000 – 3, 75251000 – 0, 75251100 – 1, 75251110 – 4, 75251120 – 7, 75252000 – 7, 75222000 – 8, 98113100 – 9 a 85143000 – 3 okrem služieb prepravy pacientov sanitárnymi vozidlami;</w:t>
      </w:r>
    </w:p>
    <w:p>
      <w:r>
        <w:t>l) služby politickej kampane, na ktoré sa vzťahujú kódy CPV 79341400 – 0, 92111230 – 3 a 92111240 – 6, ak ich poskytuje politická strana v súvislosti s volebnou kampaňou;</w:t>
      </w:r>
    </w:p>
    <w:p>
      <w:r>
        <w:t>m) pracovné zmluvy;</w:t>
      </w:r>
    </w:p>
    <w:p>
      <w:r>
        <w:t>n) zmluvy o službách vo verejnom záujme v osobnej železničnej doprave alebo doprave metrom v zmysle nariadenia (ES) č. 1370/2007.</w:t>
      </w:r>
    </w:p>
    <w:p>
      <w:r>
        <w:t>2. Okrem ustanovení odseku 1 sa toto nariadenie nevzťahuje na tieto zákazky, ktoré sa týkajú činností v oblasti verejnoprospešných služieb podľa časti II hlavy I kapitoly 2:</w:t>
      </w:r>
    </w:p>
    <w:p>
      <w:r>
        <w:t>a) zákazky na nákup vody, ak ich zadávajú sektoroví obstarávatelia vykonávajúci jednu alebo obe činnosti súvisiace s pitnou vodou uvedené v článku 14;</w:t>
      </w:r>
    </w:p>
    <w:p>
      <w:r>
        <w:t>b) zákazky zadávané samotnými sektorovými obstarávateľmi, ktorí pôsobia v odvetví energetiky tým, že vykonávajú činnosť uvedenú v článku 12 ods. 1, článku 13 ods. 1 alebo článku 18 na dodávku energie alebo palív na výrobu energie;</w:t>
      </w:r>
    </w:p>
    <w:p>
      <w:r>
        <w:t>c) zákazky zadávané sektorovými obstarávateľmi na účely ďalšieho predaja alebo lízingu tretím stranám za predpokladu, že sektorový obstarávateľ nemá žiadne osobitné alebo výlučné právo na predaj alebo lízing predmetu takýchto zákaziek a iné subjekty ho môžu predať alebo lízingovať za rovnakých podmienok ako sektorový obstarávateľ;</w:t>
      </w:r>
    </w:p>
    <w:p>
      <w:r>
        <w:t>d) zákazky zadávané sektorovými obstarávateľmi na iné účely ako vykonávanie ich činností opísaných v článkoch 12 až 18 alebo na vykonávanie takýchto činností v tretej krajine za podmienok, ktoré si nevyžadujú fyzické využitie siete alebo geografickej oblasti v rámci Únie, a na súťaže návrhov organizované na takéto účely.</w:t>
      </w:r>
    </w:p>
    <w:p>
      <w:r>
        <w:rPr>
          <w:sz w:val="16"/>
        </w:rPr>
        <w:t>59 Smernica Európskeho parlamentu a Rady (EÚ) 2018/1972 z 11. decembra 2018, ktorou sa stanovuje európsky kódex elektronických komunikácií (prepracované znenie) (Ú. v. EÚ L 321, 17.12.2018, s. 36, ELI: http://data.europa.eu/eli/dir/2018/1972/oj).</w:t>
      </w:r>
    </w:p>
    <w:p>
      <w:r>
        <w:rPr>
          <w:sz w:val="16"/>
        </w:rPr>
        <w:t>60 Nariadenie Európskeho parlamentu a Rady (EÚ) 2024/1083 z 11. apríla 2024, ktorým sa stanovuje spoločný rámec pre mediálne služby na vnútornom trhu a mení smernica 2010/13/EÚ (Európsky akt o slobode médií) (Ú. v. EÚ L, 2024/1083, 17.4.2024, ELI: http://data.europa.eu/eli/reg/2024/1083/oj).</w:t>
      </w:r>
    </w:p>
    <w:p>
      <w:r>
        <w:rPr>
          <w:sz w:val="16"/>
        </w:rPr>
        <w:t>61 Smernica Európskeho parlamentu a Rady 2014/65/EÚ z 15. mája 2014 o trhoch s finančnými nástrojmi, ktorou sa mení smernica 2002/92/ES a smernica 2011/61/EÚ (prepracované znenie) (Ú. v. EÚ L 173, 12.6.2014, s. 349, ELI: http://data.europa.eu/eli/dir/2014/65/oj).</w:t>
      </w:r>
    </w:p>
    <w:p>
      <w:r>
        <w:rPr>
          <w:sz w:val="16"/>
        </w:rPr>
        <w:t>62 Nariadenie Európskeho parlamentu a Rady (EÚ) č. 600/2014 z 15. mája 2014 o trhoch s finančnými nástrojmi, ktorým sa mení nariadenie (EÚ) č. 648/2012 (Ú. v. EÚ L 173, 12.6.2014, s. 84, ELI: http://data.europa.eu/eli/reg/2014/600/oj).</w:t>
      </w:r>
    </w:p>
    <w:p>
      <w:r>
        <w:rPr>
          <w:sz w:val="16"/>
        </w:rPr>
        <w:t>63 Nariadenie Európskeho parlamentu a Rady (EÚ) 2016/1011 z 8. júna 2016 o indexoch používaných ako referenčné hodnoty vo finančných nástrojoch a finančných zmluvách alebo na meranie výkonnosti investičných fondov, ktorým sa menia smernice 2008/48/ES a 2014/17/EÚ a nariadenie (EÚ) č. 596/2014 (Ú. v. EÚ L 171, 29.6.2016, s. 1, ELI: http://data.europa.eu/eli/reg/2016/1011/oj).</w:t>
      </w:r>
    </w:p>
    <w:p>
      <w:r>
        <w:rPr>
          <w:sz w:val="16"/>
        </w:rPr>
        <w:t>64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 s. 190, ELI: http://data.europa.eu/eli/dir/2014/59/oj).</w:t>
      </w:r>
    </w:p>
    <w:p>
      <w:pPr>
        <w:pStyle w:val="Heading3"/>
        <w:jc w:val="center"/>
      </w:pPr>
      <w:r>
        <w:t>Článok 86</w:t>
      </w:r>
    </w:p>
    <w:p>
      <w:pPr>
        <w:pStyle w:val="Heading4"/>
        <w:jc w:val="center"/>
      </w:pPr>
      <w:r>
        <w:t>Zmiešané obstarávanie zahŕňajúce aspekty obrany alebo bezpečnosti</w:t>
      </w:r>
    </w:p>
    <w:p>
      <w:r>
        <w:t>1. Tento článok sa vzťahuje na zmiešané zákazky, ktorých predmetom je obstarávanie, na ktoré sa vzťahuje toto nariadenie, ako aj obstarávanie, na ktoré sa vzťahuje článok 346 zmluvy alebo smernica 2009/81/ES.</w:t>
      </w:r>
    </w:p>
    <w:p>
      <w:r>
        <w:t>2. Ak sú jednotlivé časti danej verejnej zákazky objektívne oddeliteľné, obstarávatelia sa môžu rozhodnúť zadať samostatné zákazky na jednotlivé časti alebo zadať jedinú zákazku.</w:t>
      </w:r>
    </w:p>
    <w:p>
      <w:r>
        <w:t>3. Ak sa obstarávatelia rozhodnú zadať samostatné zákazky na samostatné časti, rozhodnutie o uplatniteľnom právnom režime pre ktorúkoľvek z takýchto samostatných zákaziek sa prijme na základe charakteristík príslušnej samostatnej časti.</w:t>
      </w:r>
    </w:p>
    <w:p>
      <w:r>
        <w:t>4. Ak sa obstarávatelia rozhodnú zadať jedinú zákazku, na určenie uplatniteľného právneho režimu sa uplatňujú tieto kritériá:</w:t>
      </w:r>
    </w:p>
    <w:p>
      <w:r>
        <w:t>a) ak sa na časť danej zákazky vzťahuje článok 346 zmluvy, zákazku možno zadať bez uplatnenia tohto nariadenia za predpokladu, že zadanie jedinej zákazky je opodstatnené z objektívnych dôvodov;</w:t>
      </w:r>
    </w:p>
    <w:p>
      <w:r>
        <w:t>b) ak sa na časť danej zákazky vzťahuje smernica 2009/81/ES, zákazku možno zadať v súlade s uvedenou smernicou za predpokladu, že zadanie jedinej zákazky je opodstatnené z objektívnych dôvodov a podlieha finančným limitom a vylúčeniam, ktoré sa v uvedenej smernici stanovujú.</w:t>
      </w:r>
    </w:p>
    <w:p>
      <w:r>
        <w:t>5. Rozhodnutie zadať jedinú zákazku sa však neprijme na účely vylúčenia zákaziek z uplatňovania tohto nariadenia alebo smernice 2009/81/ES.</w:t>
      </w:r>
    </w:p>
    <w:p>
      <w:r>
        <w:t>6. Odsek 2 tretí pododsek písm. a) sa uplatňuje na zmiešané zákazky, na ktoré by sa inak mohlo uplatňovať písmeno a) aj písmeno b) uvedeného pododseku.</w:t>
      </w:r>
    </w:p>
    <w:p>
      <w:r>
        <w:t>7. Ak jednotlivé časti danej zákazky nie sú objektívne oddeliteľné, zákazku možno zadať bez uplatnenia tohto nariadenia, ak obsahuje prvky, na ktoré sa vzťahuje článok 346 zmluvy; inak ju možno zadať v súlade so smernicou 2009/81/ES.</w:t>
      </w:r>
    </w:p>
    <w:p>
      <w:pPr>
        <w:pStyle w:val="Heading3"/>
        <w:jc w:val="center"/>
      </w:pPr>
      <w:r>
        <w:t>Článok 87</w:t>
      </w:r>
    </w:p>
    <w:p>
      <w:pPr>
        <w:pStyle w:val="Heading4"/>
        <w:jc w:val="center"/>
      </w:pPr>
      <w:r>
        <w:t>Ostatné zmiešané zmluvy</w:t>
      </w:r>
    </w:p>
    <w:p>
      <w:r>
        <w:t>1. Zákazky, ktorých predmetom sú dva alebo viaceré druhy obstarávania, konkrétne práce, služby alebo tovar, alebo ktoré čiastočne vykonávajú činnosť v oblasti verejnoprospešných služieb podľa časti II hlavy I kapitoly 2, sa zadávajú v súlade s ustanoveniami uplatniteľnými na druh obstarávania, ktorý charakterizuje hlavný predmet danej zákazky.</w:t>
      </w:r>
    </w:p>
    <w:p>
      <w:r>
        <w:t>2. V prípade zmiešaných zákaziek pozostávajúcich čiastočne zo sociálnych, zdravotníckych a vzdelávacích služieb v zmysle článku 58 a čiastočne z iných služieb alebo v prípade zmiešaných zákaziek pozostávajúcich čiastočne z takýchto služieb a čiastočne z tovaru sa hlavný predmet určuje podľa toho, ktorá z odhadovaných hodnôt príslušných služieb alebo tovaru je najvyššia.</w:t>
      </w:r>
    </w:p>
    <w:p>
      <w:r>
        <w:t>3. Toto nariadenie sa vzťahuje na zákazky, ktorých predmetom je obstarávanie, na ktoré sa vzťahuje toto nariadenie, ako aj obstarávanie, na ktoré sa toto nariadenie nevzťahuje, a to bez ohľadu na hlavný predmet alebo hodnotu častí, na ktoré by sa inak vzťahoval iný právny režim, pokiaľ sa v článku 86 nestanovuje inak.</w:t>
      </w:r>
    </w:p>
    <w:p>
      <w:pPr>
        <w:pStyle w:val="Heading2"/>
        <w:jc w:val="center"/>
      </w:pPr>
      <w:r>
        <w:t>Kapitola 2</w:t>
      </w:r>
    </w:p>
    <w:p>
      <w:pPr>
        <w:pStyle w:val="Heading2"/>
        <w:jc w:val="center"/>
      </w:pPr>
      <w:r>
        <w:t>Predmet zákazky a dôkazné prostriedky</w:t>
      </w:r>
    </w:p>
    <w:p>
      <w:pPr>
        <w:pStyle w:val="Heading3"/>
        <w:jc w:val="center"/>
      </w:pPr>
      <w:r>
        <w:t>Článok 88</w:t>
      </w:r>
    </w:p>
    <w:p>
      <w:pPr>
        <w:pStyle w:val="Heading4"/>
        <w:jc w:val="center"/>
      </w:pPr>
      <w:r>
        <w:t>Špecifikácie</w:t>
      </w:r>
    </w:p>
    <w:p>
      <w:r>
        <w:t>1. Obstarávatelia v rámci podrobností obstarávania stanovia špecifikácie, v ktorých sa vymedzia charakteristické znaky stavebných prác, tovaru alebo služieb, ktoré sú predmetom obstarávania. Špecifikácie sa stanovia objektívnymi, jasnými a merateľnými podmienkami a formulujú sa spôsobom, ktorý zainteresovaným hospodárskym subjektom umožňuje identifikovať predmet zákazky a obstarávateľom posúdiť súlad ponúk so špecifikáciami.</w:t>
      </w:r>
    </w:p>
    <w:p>
      <w:r>
        <w:t>2. Charakteristické znaky uvedené v odseku 1 tohto článku sa môžu za predpokladu, že súvisia s predmetom zákazky podľa článku 90, týkať metód alebo špecifických procesov výroby alebo strategických aspektov stanovených v hlave II tejto časti.</w:t>
      </w:r>
    </w:p>
    <w:p>
      <w:r>
        <w:t>3. V špecifikáciách sa opisujú vlastnosti riešenia, ktoré sa má obstarať z hľadiska funkčných požiadaviek. „Funkčná požiadavka“ je požiadavka, ktorá opisuje výkon, požadovanú funkciu, spôsobilosť, výsledok alebo výsledok, ktorý musí dielo, výrobok alebo služba dosiahnuť, bez toho, aby odkazovala na konkrétne technické prostriedky, návrh alebo metódy, ktorými sa majú funkcie alebo výsledky dosiahnuť.</w:t>
      </w:r>
    </w:p>
    <w:p>
      <w:r>
        <w:t>4. Obstarávatelia sa môžu odchýliť od odseku 3, ak sú normy povinné podľa práva Únie alebo ak charakteristiky nemožno dostatočne alebo primerane opísať vo funkčných požiadavkách. V druhom prípade môžu obstarávatelia formulovať požiadavky v špecifikáciách, najmä prostredníctvom technických predpisov na práce alebo vymedzení charakteristík tovaru alebo služieb, alebo akýmkoľvek z týchto spôsobov podľa poradia preferencií:</w:t>
      </w:r>
    </w:p>
    <w:p>
      <w:r>
        <w:t>a) harmonizované normy, ako aj normy a normalizačné produkty, na ktoré boli na účely tohto odseku uverejnené odkazy v Úradnom vestníku Európskej únie alebo akýmkoľvek iným spôsobom stanoveným v súlade s právnymi predpismi Únie a spoločnými špecifikáciami, chápané ako iné technické špecifikácie než norma a prijaté Komisiou, a ktorých zhoda poskytuje predpoklad zhody s požiadavkami stanovenými v príslušných právnych predpisoch Únie;</w:t>
      </w:r>
    </w:p>
    <w:p>
      <w:r>
        <w:t>b) na európske normy vymedzené v článku 2 nariadenia (EÚ) č. 1025/2012 vrátane vnútroštátnych noriem, ktorými sa transponujú európske normy;</w:t>
      </w:r>
    </w:p>
    <w:p>
      <w:r>
        <w:t>c) Európske hodnotiace dokumenty;</w:t>
      </w:r>
    </w:p>
    <w:p>
      <w:r>
        <w:t>d) medzinárodné normy;</w:t>
      </w:r>
    </w:p>
    <w:p>
      <w:r>
        <w:t>e) iné normalizačné produkty vypracované európskou normalizačnou organizáciou v zmysle vymedzenia v nariadení (EÚ) č. 1025/2012;</w:t>
      </w:r>
    </w:p>
    <w:p>
      <w:r>
        <w:t>f) ak neexistujú všetky spôsoby uvedené v písmenách a) až e), špecifikácie sa môžu formulovať odkazom na vnútroštátne normy, vnútroštátne technické schválenia alebo vnútroštátne technické špecifikácie týkajúce sa projektovej dokumentácie, výpočtu, vykonania prác a použitia tovaru; každý odkaz musí byť doplnený slovami „alebo ekvivalentné“.</w:t>
      </w:r>
    </w:p>
    <w:p>
      <w:r>
        <w:t>5. Špecifikácie nesmú odkazovať na konkrétnu značku alebo zdroj alebo na určitý postup, ktorý charakterizuje výrobky alebo služby poskytované jedným konkrétnym hospodárskym subjektom, ani na ochranné známky, patenty, druhy alebo určitý pôvod alebo výrobu, ak by to viedlo k uprednostneniu alebo vylúčeniu určitých podnikov alebo výrobkov.</w:t>
      </w:r>
    </w:p>
    <w:p>
      <w:r>
        <w:t>6. Odkaz uvedený v odseku 5 sa povoľuje len vo výnimočných prípadoch, keď inak nie je možná minimálna úroveň presnosti podľa odsekov 1, 2 a 3. Takýto odkaz je doplnený slovami „alebo ekvivalentné“.</w:t>
      </w:r>
    </w:p>
    <w:p>
      <w:r>
        <w:t>Tento odsek sa uplatňuje bez toho, aby boli dotknuté požiadavky na európske preferencie uvedené v tomto nariadení alebo v iných právnych predpisoch Únie.</w:t>
      </w:r>
    </w:p>
    <w:p>
      <w:r>
        <w:t>Ak obstarávateľ využíva možnosť odkazu na normy alebo špecifikácie uvedené v odseku 4, nezamietne ponuku z dôvodu, že ponúkané riešenia nie sú v súlade s normami alebo špecifikáciami, na ktoré sa odvolal, pokiaľ uchádzač vo svojej ponuke preukáže, že navrhované riešenia spĺňajú požiadavky spôsobom rovnocenným s požiadavkami vymedzenými v špecifikáciách. Ponuka môže poskytnúť dôkaz akýmkoľvek vhodným spôsobom vrátane dôkazných prostriedkov uvedených v článku 92.</w:t>
      </w:r>
    </w:p>
    <w:p>
      <w:pPr>
        <w:pStyle w:val="Heading3"/>
        <w:jc w:val="center"/>
      </w:pPr>
      <w:r>
        <w:t>Článok 89</w:t>
      </w:r>
    </w:p>
    <w:p>
      <w:pPr>
        <w:pStyle w:val="Heading4"/>
        <w:jc w:val="center"/>
      </w:pPr>
      <w:r>
        <w:t>Varianty</w:t>
      </w:r>
    </w:p>
    <w:p>
      <w:r>
        <w:t>1. Ak obstarávatelia neformulujú špecifikácie výlučne vo forme funkčných požiadaviek podľa článku 88 ods. 3, zvážia, či povolia variantné riešenia.</w:t>
      </w:r>
    </w:p>
    <w:p>
      <w:r>
        <w:t>Na účely tohto nariadenia je „variant“ ponuka, ktorá sa čiastočne odchyľuje od špecifikácií stanovených v podrobnostiach obstarávania a ponúka alternatívne riešenie na uspokojenie potrieb obstarávateľa.</w:t>
      </w:r>
    </w:p>
    <w:p>
      <w:r>
        <w:t>2. Obstarávatelia v podrobnostiach o obstarávaní uvedú, či povoľujú variantné riešenia, a ak nie, uvedú hlavné dôvody tohto rozhodnutia. Obstarávatelia špecifikujú všetky minimálne požiadavky, ktoré musia variantné riešenia spĺňať, za predpokladu, že zbytočne neobmedzujú schopnosť hospodárskych subjektov navrhovať alternatívne riešenia schopné uspokojiť potreby a ciele kupujúceho. Variantné riešenia sú spojené s predmetom zákazky podľa článku 90 a hodnotia sa na základe rovnakých kritérií na vyhodnotenie ponúk ako ponuky, ktoré nie sú variantné.</w:t>
      </w:r>
    </w:p>
    <w:p>
      <w:pPr>
        <w:pStyle w:val="Heading3"/>
        <w:jc w:val="center"/>
      </w:pPr>
      <w:r>
        <w:t>Článok 90</w:t>
      </w:r>
    </w:p>
    <w:p>
      <w:pPr>
        <w:pStyle w:val="Heading4"/>
        <w:jc w:val="center"/>
      </w:pPr>
      <w:r>
        <w:t>Súvislosť s predmetom</w:t>
      </w:r>
    </w:p>
    <w:p>
      <w:r>
        <w:t>1. Podmienky účasti, kritériá na vyhodnotenie ponúk, špecifikácie a podmienky plnenia zákaziek sú spojené s predmetom zákazky.</w:t>
      </w:r>
    </w:p>
    <w:p>
      <w:r>
        <w:t>Takáto súvislosť sa považuje za existujúcu, ak sa predmetná podmienka, požiadavka alebo kritérium týka prác, tovaru alebo služieb, ktoré sa majú dodať alebo poskytnúť v rámci zákazky v ktorejkoľvek fáze ich životného cyklu.</w:t>
      </w:r>
    </w:p>
    <w:p>
      <w:r>
        <w:t>2. Súvislosť s predmetom zákazky môže byť buď priama, t. j. predmetná podmienka, požiadavka alebo kritérium je neoddeliteľne spojené s vecnou podstatou predmetu zákazky, alebo nepriama.</w:t>
      </w:r>
    </w:p>
    <w:p>
      <w:r>
        <w:t>3. Podmienka, požiadavka alebo kritérium sa považujú za nepriamo spojené s predmetom zákazky, ak bez toho, aby boli súčasťou vecnej podstaty dotknutých prác, služieb alebo tovaru, osobitne ovplyvňujú tieto práce, služby alebo tovar, pokiaľ ide o ich prípravu, výrobu alebo akúkoľvek inú fázu ich životného cyklu v rozsahu, na ktorý sa vzťahuje zákazka, vrátane pracovných podmienok pracovníkov zapojených do ktorejkoľvek z týchto fáz životného cyklu a zodpovedného získavania zdrojov a transparentnosti dodávateľského reťazca pre výrobok, ktorý je predmetom dotknutého obstarávania.</w:t>
      </w:r>
    </w:p>
    <w:p>
      <w:pPr>
        <w:pStyle w:val="Heading3"/>
        <w:jc w:val="center"/>
      </w:pPr>
      <w:r>
        <w:t>Článok 91</w:t>
      </w:r>
    </w:p>
    <w:p>
      <w:pPr>
        <w:pStyle w:val="Heading4"/>
        <w:jc w:val="center"/>
      </w:pPr>
      <w:r>
        <w:t>Štítky</w:t>
      </w:r>
    </w:p>
    <w:p>
      <w:r>
        <w:t>1. Ak majú obstarávatelia v úmysle nakupovať riešenia s osobitnými environmentálnymi, sociálnymi alebo inými charakteristikami, môžu v špecifikáciách, kritériách na vyhodnotenie ponúk alebo podmienkach plnenia zákaziek požadovať osobitnú značku ako dôkaz, že práce, služby a výrobky zodpovedajú požadovaným charakteristikám, za predpokladu, že sú splnené všetky tieto podmienky:</w:t>
      </w:r>
    </w:p>
    <w:p>
      <w:r>
        <w:t>a) požiadavky na získanie značky sa týkajú len kritérií, ktoré súvisia s predmetom zákazky a sú vhodné na vymedzenie charakteristík riešení, ktoré sú predmetom zákazky;</w:t>
      </w:r>
    </w:p>
    <w:p>
      <w:r>
        <w:t>b) požiadavky na značku sú založené na objektívne overiteľných a nediskriminačných kritériách;</w:t>
      </w:r>
    </w:p>
    <w:p>
      <w:r>
        <w:t>c) značky sa stanovujú v rámci otvoreného a transparentného postupu, na ktorom sa môžu zúčastniť všetky príslušné zainteresované strany vrátane vládnych orgánov, spotrebiteľov, sociálnych partnerov, výrobcov, distribútorov a mimovládnych organizácií;</w:t>
      </w:r>
    </w:p>
    <w:p>
      <w:r>
        <w:t>d) štítky sú prístupné všetkým zainteresovaným stranám;</w:t>
      </w:r>
    </w:p>
    <w:p>
      <w:r>
        <w:t>e) požiadavky na značku stanovuje tretia strana, na ktorú hospodársky subjekt žiadajúci o značku nemôže mať rozhodujúci vplyv.</w:t>
      </w:r>
    </w:p>
    <w:p>
      <w:r>
        <w:t>Okrem podmienok stanovených v prvom pododseku a bez toho, aby boli dotknuté požiadavky stanovené v iných právnych predpisoch Únie, ak obstarávatelia požadujú environmentálnu značku, environmentálnou značkou EÚ je environmentálna značka EÚ za predpokladu, že na predmetné práce, výrobky alebo služby sa vzťahujú kritériá environmentálnej značky EÚ prijaté podľa nariadenia (ES) č. 66/2010 [65]. Ak pre zakúpené práce, výrobky alebo služby neexistujú kritériá environmentálnej značky EÚ, požadovaná environmentálna značka je environmentálna značka overená treťou stranou na základe perspektívy životného cyklu v súlade s prvým pododsekom.</w:t>
      </w:r>
    </w:p>
    <w:p>
      <w:r>
        <w:t>Ak obstarávatelia nevyžadujú, aby práce, služby a výrobky spĺňali všetky požiadavky na štítok stanovené v prvom a druhom pododseku, uvedú, ktoré požiadavky na štítok sa majú splniť.</w:t>
      </w:r>
    </w:p>
    <w:p>
      <w:r>
        <w:t>2. Obstarávatelia, ktorí vyžadujú osobitné označenie, akceptujú všetky ostatné rovnocenné označenia, ktoré potvrdzujú, že práce, výrobky alebo služby spĺňajú požadované vlastnosti.</w:t>
      </w:r>
    </w:p>
    <w:p>
      <w:r>
        <w:t>3. Ak hospodársky subjekt preukáže, že nemal možnosť získať osobitnú značku, ktorú uviedol obstarávateľ, alebo rovnocennú značku uvedenú v odseku 2 v príslušných lehotách z dôvodov, ktoré nemôže ovplyvniť, obstarávateľ akceptuje iné vhodné dôkazové prostriedky, ktoré môžu zahŕňať technickú dokumentáciu výrobcu, za predpokladu, že dotknutý hospodársky subjekt preukáže, že práce, služby alebo dodávky, ktoré má poskytnúť, spĺňajú požiadavky osobitnej značky alebo osobitné požiadavky, ktoré uviedol obstarávateľ.</w:t>
      </w:r>
    </w:p>
    <w:p>
      <w:r>
        <w:t>Ak značka spĺňa podmienky stanovené v odseku 1 písm. b), c), d) a e), ale stanovujú sa v nej aj požiadavky, ktoré nesúvisia s predmetom zákazky, obstarávatelia od hospodárskeho subjektu nevyžadujú, aby poskytol značku, ale môžu vymedziť špecifikácie odkazom na tie podrobné špecifikácie značky alebo v prípade potreby na tie ich časti, ktoré súvisia s predmetom zákazky a ktoré sú vhodné na vymedzenie charakteristík tohto predmetu.</w:t>
      </w:r>
    </w:p>
    <w:p>
      <w:r>
        <w:rPr>
          <w:sz w:val="16"/>
        </w:rPr>
        <w:t>65 Nariadenie Európskeho parlamentu a Rady (ES) č. 66/2010 z 25. novembra 2009 o environmentálnej značke EÚ (Ú. v. EÚ L 27, 30.1.2010, s. 1, ELI: http://data.europa.eu/eli/reg/2010/66/oj).</w:t>
      </w:r>
    </w:p>
    <w:p>
      <w:pPr>
        <w:pStyle w:val="Heading3"/>
        <w:jc w:val="center"/>
      </w:pPr>
      <w:r>
        <w:t>Článok 92</w:t>
      </w:r>
    </w:p>
    <w:p>
      <w:pPr>
        <w:pStyle w:val="Heading4"/>
        <w:jc w:val="center"/>
      </w:pPr>
      <w:r>
        <w:t>Dôkazné prostriedky týkajúce sa požiadaviek na výrobok</w:t>
      </w:r>
    </w:p>
    <w:p>
      <w:r>
        <w:t>1. Obstarávatelia môžu požadovať, aby hospodárske subjekty poskytli vyhlásenie o zhode alebo vyhlásenie o parametroch a zhode výrobku prostredníctvom digitálneho pasu výrobku podľa nariadenia (EÚ) 2024/1781 alebo, ak ešte neexistuje, inými rovnocennými elektronickými prostriedkami ako dôkaz zhody alebo súladu s požiadavkami alebo kritériami stanovenými v špecifikáciách, kritériách na vyhodnotenie ponúk alebo podmienkach plnenia zákaziek.</w:t>
      </w:r>
    </w:p>
    <w:p>
      <w:r>
        <w:t>2. Obstarávatelia môžu požadovať skúšobný protokol od notifikovaného orgánu, orgánu technického posudzovania, orgánu posudzovania zhody alebo certifikát vydaný takýmto orgánom ako dôkaz zhody s požiadavkami alebo kritériami stanovenými v špecifikáciách, kritériách na vyhodnotenie ponúk alebo podmienkach plnenia zákaziek.</w:t>
      </w:r>
    </w:p>
    <w:p>
      <w:r>
        <w:t>Ak obstarávatelia požadujú predloženie certifikátov vypracovaných konkrétnou notifikovanou osobou, obstarávatelia akceptujú aj certifikáty vydané iným rovnocenným notifikovaným subjektom, orgánom technického posudzovania alebo orgánom posudzovania zhody, certifikáty od iných rovnocenných notifikovaných subjektov, orgánov technického posudzovania alebo orgánov posudzovania zhody vrátane tých, ktoré sú usadené v iných členských štátoch, než je členský štát obstarávateľa.</w:t>
      </w:r>
    </w:p>
    <w:p>
      <w:r>
        <w:t>Na účely tohto odseku je orgán posudzovania zhody orgán vykonávajúci činnosti posudzovania zhody vrátane kalibrácie, skúšania, certifikácie a kontroly akreditovaný v súlade s nariadením Európskeho parlamentu a Rady (ES) č. 765/2008[66].</w:t>
      </w:r>
    </w:p>
    <w:p>
      <w:r>
        <w:t>3. Obstarávatelia môžu namiesto dôkazov uvedených v odseku 1 akceptovať iné vhodné dôkazové prostriedky, ako napríklad technickú dokumentáciu výrobcu, ak dotknutý hospodársky subjekt nemal prístup k osvedčeniam alebo skúšobným protokolom uvedeným v odseku 1 alebo ak nemal možnosť získať ich v príslušných lehotách, a to za predpokladu, že za chýbajúci prístup nenesie zodpovednosť dotknutý hospodársky subjekt, a za predpokladu, že dotknutý hospodársky subjekt tým preukáže, že práce, tovar alebo služby, ktoré poskytuje, spĺňajú požiadavky alebo kritériá stanovené v špecifikáciách, kritériá na vyhodnotenie ponúk alebo podmienky plnenia zákaziek. Hospodárske subjekty môžu poskytnúť iné vhodné dôkazné prostriedky len vtedy, ak sa doklady uvedené v odseku 1 nevyžadujú podľa iných právnych predpisov Únie.</w:t>
      </w:r>
    </w:p>
    <w:p>
      <w:r>
        <w:rPr>
          <w:sz w:val="16"/>
        </w:rPr>
        <w:t>66 Nariadenie Európskeho parlamentu a Rady (ES) č. 765/2008 z 9. júla 2008, ktorým sa stanovujú požiadavky akreditácie a ktorým sa zrušuje nariadenie (EHS) č. 339/93 (Ú. v. EÚ L 218, 13.8.2008, s. 30, ELI: http://data.europa.eu/eli/reg/2008/765/oj).</w:t>
      </w:r>
    </w:p>
    <w:p>
      <w:pPr>
        <w:pStyle w:val="Heading2"/>
        <w:jc w:val="center"/>
      </w:pPr>
      <w:r>
        <w:t>Kapitola 3</w:t>
      </w:r>
    </w:p>
    <w:p>
      <w:pPr>
        <w:pStyle w:val="Heading2"/>
        <w:jc w:val="center"/>
      </w:pPr>
      <w:r>
        <w:t>Priebeh výberového konania</w:t>
      </w:r>
    </w:p>
    <w:p>
      <w:pPr>
        <w:pStyle w:val="Heading3"/>
        <w:jc w:val="center"/>
      </w:pPr>
      <w:r>
        <w:t>Článok 93</w:t>
      </w:r>
    </w:p>
    <w:p>
      <w:pPr>
        <w:pStyle w:val="Heading4"/>
        <w:jc w:val="center"/>
      </w:pPr>
      <w:r>
        <w:t>Dôverný</w:t>
      </w:r>
    </w:p>
    <w:p>
      <w:r>
        <w:t>1. Obstarávatelia nezverejnia informácie poskytnuté hospodárskymi subjektmi, ktoré označili za dôverné, okrem iného vrátane technických alebo obchodných tajomstiev a dôverných aspektov ponúk, pokiaľ sa v tomto nariadení alebo v práve Únie alebo vo vnútroštátnom práve, ktorému obstarávateľ podlieha, najmä v právnych predpisoch týkajúcich sa prístupu k informáciám, nestanovuje inak.</w:t>
      </w:r>
    </w:p>
    <w:p>
      <w:r>
        <w:t>2. Obstarávatelia môžu uložiť hospodárskym subjektom požiadavky zamerané na ochranu dôverného charakteru informácií, ktoré obstarávatelia sprístupňujú počas celého postupu obstarávania alebo pri plnení zmluvy.</w:t>
      </w:r>
    </w:p>
    <w:p>
      <w:r>
        <w:t>3. Ak je to opodstatnené z bezpečnostných dôvodov, okrem iného vrátane základných záujmov národnej bezpečnosti alebo bezpečnosti Únie, obstarávatelia môžu:</w:t>
      </w:r>
    </w:p>
    <w:p>
      <w:r>
        <w:t>a) obmedziť informácie, ktoré poskytujú hospodárskym subjektom, na určité fázy postupu obstarávania; alebo</w:t>
      </w:r>
    </w:p>
    <w:p>
      <w:r>
        <w:t>b) podmieniť prístup k informáciám prijatím určitých bezpečnostných opatrení, najmä získaním bezpečnostnej previerky v členskom štáte, v ktorom sa má verejná zákazka plniť.</w:t>
      </w:r>
    </w:p>
    <w:p>
      <w:pPr>
        <w:pStyle w:val="Heading3"/>
        <w:jc w:val="center"/>
      </w:pPr>
      <w:r>
        <w:t>Článok 94</w:t>
      </w:r>
    </w:p>
    <w:p>
      <w:pPr>
        <w:pStyle w:val="Heading4"/>
        <w:jc w:val="center"/>
      </w:pPr>
      <w:r>
        <w:t>Konflikty záujmov</w:t>
      </w:r>
    </w:p>
    <w:p>
      <w:r>
        <w:t>1. Obstarávatelia prijmú vhodné opatrenia na účinnú prevenciu, identifikáciu a nápravu konfliktov záujmov, ktoré vznikajú pri vykonávaní postupov obstarávania, vrátane návrhu a prípravy postupu a zapojených zamestnancov, vypracovania podrobností obstarávania, výberu hospodárskych subjektov a zadania zákazky.</w:t>
      </w:r>
    </w:p>
    <w:p>
      <w:r>
        <w:t>Na účely tohto článku „konflikt záujmov“ zahŕňa každú situáciu, keď majú kategórie osôb uvedené v odseku 2 priamy alebo nepriamy osobný záujem na výsledku postupu obstarávania alebo na vykonávaní zákazky, čo môže ohroziť nestranné a objektívne plnenie ich povinností.</w:t>
      </w:r>
    </w:p>
    <w:p>
      <w:r>
        <w:t>Na účely tohto odseku „osobný záujem“ je akýkoľvek rodinný, citový, hospodársky, politický alebo iný relevantný spoločný záujem so záujemcami, uchádzačmi alebo dodávateľom vrátane protichodných profesionálnych záujmov.</w:t>
      </w:r>
    </w:p>
    <w:p>
      <w:r>
        <w:t>2. Pravidlá uvedené v odseku 1 sa uplatňujú na konflikty záujmov, ktoré sa týkajú aspoň týchto kategórií osôb:</w:t>
      </w:r>
    </w:p>
    <w:p>
      <w:r>
        <w:t>a) zamestnancov obstarávateľa, poskytovateľov obstarávacích služieb alebo zamestnancov iných poskytovateľov služieb, ktorí sú zapojení do vykonávania postupu obstarávania alebo môžu ovplyvniť jeho výsledok;</w:t>
      </w:r>
    </w:p>
    <w:p>
      <w:r>
        <w:t>b) členov rozhodovacích orgánov obstarávateľa alebo iných orgánov, ktoré ovplyvňujú rozhodovanie obstarávateľa, ktorí môžu ovplyvniť výsledok postupu obstarávania bez toho, aby boli nevyhnutne zapojení do vedenia tohto postupu.</w:t>
      </w:r>
    </w:p>
    <w:p>
      <w:r>
        <w:t>3. Osoby uvedené v odseku 2 sú povinné oznámiť akýkoľvek konflikt záujmov v súvislosti s ktorýmkoľvek hospodárskym subjektom, ktorý sa zúčastňuje na postupe obstarávania, hneď ako sa o takýchto konfliktoch dozvedia, s cieľom umožniť nápravné opatrenia.</w:t>
      </w:r>
    </w:p>
    <w:p>
      <w:r>
        <w:t>Obstarávatelia môžu požadovať, aby hospodárske subjekty vo svojom vyjadrení záujmu, ponuke alebo na začiatku rokovaní vyhlásili existenciu akýchkoľvek väzieb s osobami uvedenými v odseku 2 písm. b), ktoré môžu dostať tieto osoby do situácie konfliktu záujmov, ako aj konfliktu záujmov v súvislosti s predmetom postupu obstarávania.</w:t>
      </w:r>
    </w:p>
    <w:p>
      <w:r>
        <w:t>4. Bez toho, aby bol dotknutý článok 140 ods. 3, nápravné opatrenia zahŕňajú predovšetkým vylúčenie dotknutých osôb uvedených v odseku 2 z účasti na dotknutom postupe obstarávania alebo prerozdelenie povinností a zodpovedností danej osoby.</w:t>
      </w:r>
    </w:p>
    <w:p>
      <w:r>
        <w:t>Ak konflikty záujmov nemožno účinne napraviť inými prostriedkami, dotknutý hospodársky subjekt sa z postupu vylúči až po tom, ako dostane príležitosť preukázať, že situácia podozrenia z konfliktu záujmov nenarúša hospodársku súťaž.</w:t>
      </w:r>
    </w:p>
    <w:p>
      <w:r>
        <w:t>5. Všetky konflikty záujmov, ktorým sa zabránilo, ktoré boli identifikované alebo vyhlásené, a prijaté nápravné opatrenia sa zdokumentujú podľa článku 109.</w:t>
      </w:r>
    </w:p>
    <w:p>
      <w:pPr>
        <w:pStyle w:val="Heading3"/>
        <w:jc w:val="center"/>
      </w:pPr>
      <w:r>
        <w:t>Článok 95</w:t>
      </w:r>
    </w:p>
    <w:p>
      <w:pPr>
        <w:pStyle w:val="Heading4"/>
        <w:jc w:val="center"/>
      </w:pPr>
      <w:r>
        <w:t>Predchádzajúca účasť na príprave postupu verejného obstarávania</w:t>
      </w:r>
    </w:p>
    <w:p>
      <w:r>
        <w:t>1. Ak bol hospodársky subjekt zapojený do prípravy postupu obstarávania, obstarávatelia prijmú všetky potrebné opatrenia na zabezpečenie toho, aby účasť tohto hospodárskeho subjektu nenarušila hospodársku súťaž.</w:t>
      </w:r>
    </w:p>
    <w:p>
      <w:r>
        <w:t>Účasť na trhovej konzultácii sa nepovažuje za prípravu postupu obstarávania v zmysle tohto článku.</w:t>
      </w:r>
    </w:p>
    <w:p>
      <w:r>
        <w:t>2. Opatrenia uvedené v odseku 1 zahŕňajú sprístupnenie relevantných informácií, ktoré si zúčastnený hospodársky subjekt vymenil alebo získal počas prípravy postupu obstarávania, všetkým zainteresovaným hospodárskym subjektom, ako aj stanovenie primeraných lehôt na zabezpečenie spravodlivej hospodárskej súťaže.</w:t>
      </w:r>
    </w:p>
    <w:p>
      <w:r>
        <w:t>3. Dotknutý hospodársky subjekt sa vylúči z postupu len vtedy, ak neexistujú žiadne iné prostriedky na zabezpečenie rovnakého zaobchádzania, a po tom, ako dostal príležitosť preukázať, že jeho predchádzajúce zapojenie nenarúša hospodársku súťaž.</w:t>
      </w:r>
    </w:p>
    <w:p>
      <w:r>
        <w:t>4. Opatrenia sa zdokumentujú podľa článku 109.</w:t>
      </w:r>
    </w:p>
    <w:p>
      <w:pPr>
        <w:pStyle w:val="Heading3"/>
        <w:jc w:val="center"/>
      </w:pPr>
      <w:r>
        <w:t>Článok 96</w:t>
      </w:r>
    </w:p>
    <w:p>
      <w:pPr>
        <w:pStyle w:val="Heading4"/>
        <w:jc w:val="center"/>
      </w:pPr>
      <w:r>
        <w:t>Stanovenie lehôt</w:t>
      </w:r>
    </w:p>
    <w:p>
      <w:r>
        <w:t>1. Pri stanovovaní lehôt na vyjadrenie záujmu alebo prijatie ponúk a bez toho, aby boli dotknuté minimálne a maximálne lehoty stanovené v hlave I tejto časti, obstarávatelia zohľadnia povahu a zložitosť zákazky, potrebu kontrol na mieste a čas potrebný na vypracovanie ponúk.</w:t>
      </w:r>
    </w:p>
    <w:p>
      <w:r>
        <w:t>2. Obstarávatelia predĺžia lehoty stanovené na prijímanie ponúk v prípade dodatočných informácií alebo významných zmien. Dĺžka predĺženia musí byť primeraná relevantnosti a zložitosti informácií alebo zmeny.</w:t>
      </w:r>
    </w:p>
    <w:p>
      <w:pPr>
        <w:pStyle w:val="Heading3"/>
        <w:jc w:val="center"/>
      </w:pPr>
      <w:r>
        <w:t>Článok 97</w:t>
      </w:r>
    </w:p>
    <w:p>
      <w:pPr>
        <w:pStyle w:val="Heading4"/>
        <w:jc w:val="center"/>
      </w:pPr>
      <w:r>
        <w:t>Dostupnosť podrobností o verejnom obstarávaní</w:t>
      </w:r>
    </w:p>
    <w:p>
      <w:r>
        <w:t>1. Obstarávatelia zabezpečia neobmedzený, úplný, priamy a bezplatný elektronický prístup k podrobnostiam o obstarávaní od dátumu uverejnenia verejného zhrnutia súťaže do troch rokov od zadania zákazky.</w:t>
      </w:r>
    </w:p>
    <w:p>
      <w:r>
        <w:t>2. Ak v prípade určitých častí obstarávania nie je možné poskytnúť takýto prístup uvedený v odseku 1, obstarávatelia môžu vo verejnom zhrnutí uviesť iné prostriedky, ktorými sa tieto časti sprístupnia inými ako elektronickými prostriedkami.</w:t>
      </w:r>
    </w:p>
    <w:p>
      <w:r>
        <w:t>3. Obstarávatelia bez zbytočného odkladu poskytnú všetkým hospodárskym subjektom všetky dodatočné informácie týkajúce sa špecifikácií a akékoľvek podporné podrobnosti obstarávania potrebné na predloženie ponúk za predpokladu, že boli vyžiadané včas.</w:t>
      </w:r>
    </w:p>
    <w:p>
      <w:r>
        <w:t>4. Týmto článkom nie je dotknutý článok 93 ods. 3.</w:t>
      </w:r>
    </w:p>
    <w:p>
      <w:pPr>
        <w:pStyle w:val="Heading3"/>
        <w:jc w:val="center"/>
      </w:pPr>
      <w:r>
        <w:t>Článok 98</w:t>
      </w:r>
    </w:p>
    <w:p>
      <w:pPr>
        <w:pStyle w:val="Heading4"/>
        <w:jc w:val="center"/>
      </w:pPr>
      <w:r>
        <w:t>Kritériá na vyhodnotenie ponúk</w:t>
      </w:r>
    </w:p>
    <w:p>
      <w:r>
        <w:t>1. Obstarávatelia zadajú zákazku hospodárskemu subjektu, ktorý ponúka najlepšiu kvalitu za vynaložené peniaze.</w:t>
      </w:r>
    </w:p>
    <w:p>
      <w:r>
        <w:t>Na tento účel obstarávatelia vyhodnotia prijaté ponuky podľa metódy najlepšieho pomeru ceny a kvality uvedenej v odseku 2 a uplatnia kritériá na vyhodnotenie ponúk s minimálnou váhou kvality v súlade s odsekom 4, s výnimkou prípadov stanovených v odseku 5.</w:t>
      </w:r>
    </w:p>
    <w:p>
      <w:r>
        <w:t>2. S cieľom určiť najlepší pomer ceny a kvality obstarávatelia vyhodnotia ponuky porovnaním ich ceny a kvality na základe kritérií kvality spojených s predmetom zákazky. Náklady možno zohľadniť aj pri určovaní najlepšieho pomeru ceny a kvality.</w:t>
      </w:r>
    </w:p>
    <w:p>
      <w:r>
        <w:t>Kritériá kvality sa vzťahujú na všetky kritériá používané na posúdenie miery, do akej ponuka navrhuje prospešné, efektívne alebo udržateľné výsledky vo vzťahu k predmetu zákazky.</w:t>
      </w:r>
    </w:p>
    <w:p>
      <w:r>
        <w:t>Kvalita ponuky sa môže týkať napríklad týchto aspektov:</w:t>
      </w:r>
    </w:p>
    <w:p>
      <w:r>
        <w:t>a) technický prínos, estetické a funkčné charakteristiky, prístupnosť, dizajn pre všetkých používateľov a výrobné metódy;</w:t>
      </w:r>
    </w:p>
    <w:p>
      <w:r>
        <w:t>b) environmentálne a klimatické aspekty uvedené v článku 50, prípadne aspekty špecifické pre potraviny uvedené v článku 53, sociálne aspekty uvedené v článku 55, inovačné ciele uvedené v článku 59, záujmy v oblasti bezpečnosti a ochrany verejnosti stanovené v článku 66, požiadavky na odolnosť a bezpečnosť dodávok stanovené v článku 69 alebo požiadavky na európske preferencie, ak obstarávateľ uplatňuje tieto požiadavky vo forme pridelenia bodov za udelenie zákazky podľa článku 73 ods. 2 písm. b);</w:t>
      </w:r>
    </w:p>
    <w:p>
      <w:r>
        <w:t>c) kvalita pridelených zamestnancov, ktorá môže mať významný vplyv na úroveň plnenia zákazky, ako je organizácia, kvalifikácia a skúsenosti zamestnancov určených na plnenie zákazky;</w:t>
      </w:r>
    </w:p>
    <w:p>
      <w:r>
        <w:t>d) popredajný servis a technická pomoc, dodacie podmienky, ako napríklad dátum alebo obdobie, počas ktorého sa má dodávka uskutočniť alebo dokončiť.</w:t>
      </w:r>
    </w:p>
    <w:p>
      <w:r>
        <w:t>Obstarávatelia môžu takisto stanoviť pevnú cenu, na základe ktorej majú hospodárske subjekty súťažiť len na základe kritérií kvality.</w:t>
      </w:r>
    </w:p>
    <w:p>
      <w:r>
        <w:t>3. Kritériá na vyhodnotenie ponúk musia byť nediskriminačné, primerané, konkrétne, objektívne a merateľné; vyhodnocujú sa v procese, ktorý obsahuje dostatočné záruky proti nezrovnalostiam. Obstarávateľovi umožňujú efektívne porovnať silné a slabé stránky ponúkaného tovaru, služieb a prác a nemajú za následok poskytnutie neobmedzenej slobody výberu obstarávateľovi.</w:t>
      </w:r>
    </w:p>
    <w:p>
      <w:r>
        <w:t>Obstarávatelia uvedú vo verejnom zhrnutí hospodárskej súťaže kritériá a ich relatívnu váhu zvolené na určenie najlepšieho pomeru ceny a kvality.</w:t>
      </w:r>
    </w:p>
    <w:p>
      <w:r>
        <w:t>4. Váha kritérií kvality predstavuje aspoň 30 % z celkového počtu udelených bodov.</w:t>
      </w:r>
    </w:p>
    <w:p>
      <w:r>
        <w:t>V prípade zákaziek, ktorých predmet je náročný na pracovnú silu, musí váha kritérií kvality predstavovať aspoň 50 % z celkového počtu udelených bodov.</w:t>
      </w:r>
    </w:p>
    <w:p>
      <w:r>
        <w:t>Ak podľa článku 99 obstarávatelia uplatňujú náklady na životný cyklus, váha priradená nákladom na životný cyklus sa započíta do príslušného percentuálneho podielu.</w:t>
      </w:r>
    </w:p>
    <w:p>
      <w:r>
        <w:t>Ak obstarávatelia uplatňujú environmentálne kritériá špecifické pre verejné obstarávanie stanovené v právnych predpisoch Únie, ako sa uvádza v článku 50 ods. 4 druhom pododseku vrátane delegovaných aktov prijatých podľa článku 54, a ak sa tieto požiadavky týkajú kritérií na vyhodnotenie ponúk, váha priradená takýmto environmentálnym hľadiskám sa započítava do percentuálnych hodnôt uvedených v tomto odseku. Samotný súlad s povinnosťami, ktoré sa netýkajú kritérií na vyhodnotenie ponúk, nie je kritériom na vyhodnotenie ponúk.</w:t>
      </w:r>
    </w:p>
    <w:p>
      <w:r>
        <w:t>5. Obstarávatelia sa môžu odchýliť od odseku 1 druhého pododseku a od odseku 4, ak kvalitu obstarávaného výrobku, služby alebo prác možno zabezpečiť ktorýmkoľvek z týchto spôsobov:</w:t>
      </w:r>
    </w:p>
    <w:p>
      <w:r>
        <w:t>a) špecifikácie;</w:t>
      </w:r>
    </w:p>
    <w:p>
      <w:r>
        <w:t>b) v relevantných prípadoch podmienky plnenia zákaziek;</w:t>
      </w:r>
    </w:p>
    <w:p>
      <w:r>
        <w:t>c) kombinácia niektorej z týchto možností: kvalitatívne kritériá na vyhodnotenie ponúk, špecifikácie a podmienky plnenia zákaziek.</w:t>
      </w:r>
    </w:p>
    <w:p>
      <w:r>
        <w:t>Obstarávatelia vo verejnom zhrnutí hospodárskej súťaže uvedú, ktorý zo spôsobov uvedených v prvom pododseku odôvodňuje túto výnimku.</w:t>
      </w:r>
    </w:p>
    <w:p>
      <w:pPr>
        <w:pStyle w:val="Heading3"/>
        <w:jc w:val="center"/>
      </w:pPr>
      <w:r>
        <w:t>Článok 99</w:t>
      </w:r>
    </w:p>
    <w:p>
      <w:pPr>
        <w:pStyle w:val="Heading4"/>
        <w:jc w:val="center"/>
      </w:pPr>
      <w:r>
        <w:t>Náklady na životný cyklus</w:t>
      </w:r>
    </w:p>
    <w:p>
      <w:r>
        <w:t>1. Ak obstarávatelia uplatňujú kalkuláciu nákladov na životný cyklus, táto kalkulácia sa v relevantnom rozsahu vzťahuje na časti alebo všetky tieto náklady počas životného cyklu výrobku, služby alebo prác:</w:t>
      </w:r>
    </w:p>
    <w:p>
      <w:r>
        <w:t>a) náklady, ktoré znášajú obstarávatelia alebo iné strany pri nákupe riešenia, náklady na používanie, spotrebu energie a iných zdrojov, náklady na údržbu a náklady na ukončenie životnosti, ako sú náklady na zber a recykláciu, a to na základe vhodných východiskových hodnôt a prípadných posúdení scenárov;</w:t>
      </w:r>
    </w:p>
    <w:p>
      <w:r>
        <w:t>b) náklady pripisované environmentálnym a klimatickým externalitám spojeným s výrobkom, službou alebo prácami počas ich životného cyklu za predpokladu, že ich peňažnú hodnotu možno určiť a overiť.</w:t>
      </w:r>
    </w:p>
    <w:p>
      <w:r>
        <w:t>Náklady uvedené v prvom pododseku písm. b) môžu zahŕňať náklady na emisie skleníkových plynov a iné emisie znečisťujúcich látok alebo iné náklady na zmiernenie zmeny klímy.</w:t>
      </w:r>
    </w:p>
    <w:p>
      <w:r>
        <w:t>2. Ak obstarávatelia posudzujú náklady pomocou prístupu k nákladom na životný cyklus, v podrobnostiach obstarávania uvedú údaje, ktoré majú poskytnúť uchádzači, a metódu, ktorú má obstarávateľ použiť na určenie nákladov na životný cyklus na základe týchto údajov.</w:t>
      </w:r>
    </w:p>
    <w:p>
      <w:r>
        <w:t>3. Metódy použité na posúdenie nákladov pripisovaných environmentálnym a klimatickým externalitám musia byť prístupné všetkým zainteresovaným stranám a založené na objektívne overiteľných a nediskriminačných kritériách. Najmä ak metóda nebola stanovená na opakované alebo nepretržité uplatňovanie, nesmie neprimerane zvýhodňovať ani znevýhodňovať určité hospodárske subjekty.</w:t>
      </w:r>
    </w:p>
    <w:p>
      <w:pPr>
        <w:pStyle w:val="Heading3"/>
        <w:jc w:val="center"/>
      </w:pPr>
      <w:r>
        <w:t>Článok 100</w:t>
      </w:r>
    </w:p>
    <w:p>
      <w:pPr>
        <w:pStyle w:val="Heading4"/>
        <w:jc w:val="center"/>
      </w:pPr>
      <w:r>
        <w:t>Rozdelenie na časti</w:t>
      </w:r>
    </w:p>
    <w:p>
      <w:r>
        <w:t>1. Obstarávatelia zvážia, či zákazky rozdelia na časti.</w:t>
      </w:r>
    </w:p>
    <w:p>
      <w:r>
        <w:t>2. Pri posudzovaní toho, či by sa zákazka mala rozdeliť na časti, obstarávatelia v relevantných prípadoch zohľadnia potenciálny prínos takéhoto rozdelenia k zvýšeniu účasti MSP, zníženiu závislosti od jedného dodávateľa, posilneniu odolnosti dodávateľského reťazca a bezpečnosti dodávok a podpore inovácií, ako aj na druhej strane vplyv takéhoto rozdelenia na efektívnosť obstarávania a riziká súvisiace s integritou obstarávania. Ak rozdelenie na časti nie je povinné podľa odseku 6 a obstarávatelia sa domnievajú, že takéto rozdelenie nie je vhodné, uvedú hlavné dôvody v podrobnostiach obstarávania alebo v individuálnej dokumentácii podľa článku 109.</w:t>
      </w:r>
    </w:p>
    <w:p>
      <w:r>
        <w:t>3. Ak obstarávatelia rozdelia zákazku na časti, urobia tak tak tak, aby rozsah, veľkosť, počet a povaha častí boli primerané predmetu a zložitosti zákazky.</w:t>
      </w:r>
    </w:p>
    <w:p>
      <w:r>
        <w:t>4. Obstarávatelia môžu zadávať zákazky na jednotlivé časti bez uplatnenia postupov stanovených v tomto nariadení za predpokladu, že predpokladaná hodnota dotknutej časti bez DPH je v prípade tovaru alebo služieb nižšia ako 80 000 EUR alebo v prípade prác nižšia ako 1 milión EUR. Súhrnná hodnota takto zadaných častí bez uplatnenia tohto nariadenia však nesmie presiahnuť 20 % súhrnnej hodnoty všetkých častí, na ktoré sa navrhovaná práca, navrhované nadobudnutie podobného tovaru alebo navrhované poskytnutie služieb rozdelilo.</w:t>
      </w:r>
    </w:p>
    <w:p>
      <w:r>
        <w:t>5. Obstarávatelia môžu obmedziť počet častí, v súvislosti s ktorými môžu hospodárske subjekty predložiť ponuky. Tento limit uvedú v podrobnostiach verejného obstarávania.</w:t>
      </w:r>
    </w:p>
    <w:p>
      <w:r>
        <w:t>6. Obstarávatelia môžu obmedziť počet častí, ktoré sa môžu zadať jednému uchádzačovi. V takom prípade obstarávatelia uvedú v podrobnostiach o obstarávaní maximálny počet a prípadne možné kombinácie častí. V podrobnostiach verejného obstarávania uvedú aj objektívne a nediskriminačné kritériá alebo pravidlá, ktoré majú v úmysle uplatniť pri určovaní toho, ktoré časti zákazky sa zadajú, ak by uplatnenie kritérií na vyhodnotenie ponúk viedlo k tomu, že jednému uchádzačovi by sa zadalo viac častí, ako je maximálny počet.</w:t>
      </w:r>
    </w:p>
    <w:p>
      <w:r>
        <w:t>7. Členské štáty môžu stanoviť, že obstarávatelia rozdelia zákazky na časti.</w:t>
      </w:r>
    </w:p>
    <w:p>
      <w:pPr>
        <w:pStyle w:val="Heading3"/>
        <w:jc w:val="center"/>
      </w:pPr>
      <w:r>
        <w:t>Článok 101</w:t>
      </w:r>
    </w:p>
    <w:p>
      <w:pPr>
        <w:pStyle w:val="Heading4"/>
        <w:jc w:val="center"/>
      </w:pPr>
      <w:r>
        <w:t>Neobvykle nízke ponuky</w:t>
      </w:r>
    </w:p>
    <w:p>
      <w:r>
        <w:t>1. Obstarávatelia od uchádzačov požadujú, aby vysvetlili cenu alebo cenové prvky v ponuke, a to aj vo vzťahu ku kvalite ponuky, ak sa zdajú byť neobvykle nižšie ako niektorá z týchto možností:</w:t>
      </w:r>
    </w:p>
    <w:p>
      <w:r>
        <w:t>a) cenu alebo cenové prvky inej ponuky alebo ponúk prijatých v rámci postupu obstarávania;</w:t>
      </w:r>
    </w:p>
    <w:p>
      <w:r>
        <w:t>b) trhovej ceny, napríklad odhadom hodnoty zákazky obstarávateľom, najmä ak je založená na trhovej konzultácii a zahŕňa všetky náklady, ako sú náklady na prácu a pracovné podmienky, materiál a logistiku, a na splnenie iných zmluvných požiadaviek, ako aj iných nákladov na životný cyklus;</w:t>
      </w:r>
    </w:p>
    <w:p>
      <w:r>
        <w:t>c) hodnoty zákaziek v predchádzajúcich postupoch verejného obstarávania s väčšinou totožným predmetom a podmienkami, najmä v predchádzajúcich odhadoch, ponukách alebo cenách zaplatených tým istým obstarávateľom alebo inými obstarávateľmi.</w:t>
      </w:r>
    </w:p>
    <w:p>
      <w:r>
        <w:t>Obstarávateľ môže obmedziť požiadavku vysvetliť ceny alebo cenové prvky uchádzačovi s najlepšou ponukou v súlade s článkom 98 alebo prípadne viacerým uchádzačom s najlepšie umiestnenými ponukami.</w:t>
      </w:r>
    </w:p>
    <w:p>
      <w:r>
        <w:t>2. Vysvetlenia uchádzača preukazujú, že ekonomická životaschopnosť ceny alebo cenových prvkov ponuky nie je počas trvania zákazky neobvykle nízka. Zohľadňujú nízku úroveň ceny vrátane cenových prvkov a vzťahu ku kvalite ponuky a dodržiavaniu všetkých povinností a môžu zahŕňať najmä:</w:t>
      </w:r>
    </w:p>
    <w:p>
      <w:r>
        <w:t>a) hospodárnosť výrobného procesu, poskytovaných služieb, konštrukčnej metódy alebo zvolených technických riešení;</w:t>
      </w:r>
    </w:p>
    <w:p>
      <w:r>
        <w:t>b) výnimočne priaznivé podmienky vrátane štátnej pomoci, ak je takáto štátna pomoc zlučiteľná s vnútorným trhom;</w:t>
      </w:r>
    </w:p>
    <w:p>
      <w:r>
        <w:t>c) či uchádzač dodržiava všetky regulačné povinnosti a strategické požiadavky podľa hlavy II tejto časti, ktoré sa vzťahujú na zákazku.</w:t>
      </w:r>
    </w:p>
    <w:p>
      <w:r>
        <w:t>3. Ak obstarávateľ považuje vysvetlenia uvedené v odseku 2 za uspokojivé, zaznamená svoje posúdenie v individuálnej dokumentácii podľa článku 109.</w:t>
      </w:r>
    </w:p>
    <w:p>
      <w:r>
        <w:t>4. Ak sa vysvetlenia uvedené v odseku 2 nepovažujú za uspokojivé, a to aj po požiadaní o objasnenie alebo dodatočné informácie, obstarávateľ zamietne ponuku z postupu verejného obstarávania.</w:t>
      </w:r>
    </w:p>
    <w:p>
      <w:pPr>
        <w:pStyle w:val="Heading3"/>
        <w:jc w:val="center"/>
      </w:pPr>
      <w:r>
        <w:t>Článok 102</w:t>
      </w:r>
    </w:p>
    <w:p>
      <w:pPr>
        <w:pStyle w:val="Heading4"/>
        <w:jc w:val="center"/>
      </w:pPr>
      <w:r>
        <w:t>Opravy počas postupov a zrušenie</w:t>
      </w:r>
    </w:p>
    <w:p>
      <w:r>
        <w:t>1. Obstarávatelia môžu pred uplynutím lehoty na každé predloženie ponúk alebo každé začatie rokovaní opraviť podrobnosti verejného obstarávania bez toho, aby začali nový postup verejného obstarávania alebo zmenili verejné zhrnutie súťaže, a to za predpokladu, že:</w:t>
      </w:r>
    </w:p>
    <w:p>
      <w:r>
        <w:t>a) oprava podstatne nemení predmet obstarávania; podielu a</w:t>
      </w:r>
    </w:p>
    <w:p>
      <w:r>
        <w:t>b) oprava je jasne uvedená v aktualizovaných údajoch o verejnom obstarávaní, ktoré sú k dispozícii všetkým dotknutým hospodárskym subjektom.</w:t>
      </w:r>
    </w:p>
    <w:p>
      <w:r>
        <w:t>Ak sa oprava vykoná menej ako 24 hodín pred konečným termínom na predloženie ponúk, lehota sa predĺži najmenej o dva pracovné dni alebo viac, ak je to odôvodnené povahou a zložitosťou opravy.</w:t>
      </w:r>
    </w:p>
    <w:p>
      <w:r>
        <w:t>2. Ak informácie alebo dokumentácia, ktoré predložili hospodárske subjekty, sú alebo sa zdajú byť neúplné alebo chybné, alebo ak konkrétne informácie alebo dokumentácia chýbajú, obstarávatelia môžu dotknutým hospodárskym subjektom poskytnúť prísne nediskriminačným spôsobom možnosť predložiť, doplniť, objasniť alebo doplniť príslušné informácie alebo dokumentáciu v primeranej lehote na nápravu takéhoto nedostatku. Prvá veta sa vzťahuje len na malú neformálnosť alebo nezrovnalosť ponuky alebo informácií o oprávnenosti, ak sa takýmto opravným prostriedkom podstatne nemenia informácie o ponuke alebo oprávnenosti.</w:t>
      </w:r>
    </w:p>
    <w:p>
      <w:r>
        <w:t>3. Obstarávateľ zruší postup obstarávania, ak zistí závažné chyby v postupe obstarávania, ktoré nemožno napraviť žiadnymi inými prostriedkami a ktoré by mohli narušiť hospodársku súťaž.</w:t>
      </w:r>
    </w:p>
    <w:p>
      <w:r>
        <w:t>4. Obstarávateľ môže pred podpísaním zmluvy zrušiť postup verejného obstarávania. V prípade zákaziek rozdelených na časti alebo iných foriem obstarávania s využitím viacerých zdrojov sa zrušenie môže uskutočniť čiastočne. Rozhodnutie musí byť odôvodnené a oznámené uchádzačom čo najskôr.</w:t>
      </w:r>
    </w:p>
    <w:p>
      <w:pPr>
        <w:pStyle w:val="Heading3"/>
        <w:jc w:val="center"/>
      </w:pPr>
      <w:r>
        <w:t>Článok 103</w:t>
      </w:r>
    </w:p>
    <w:p>
      <w:pPr>
        <w:pStyle w:val="Heading4"/>
        <w:jc w:val="center"/>
      </w:pPr>
      <w:r>
        <w:t>Rámcové dohody</w:t>
      </w:r>
    </w:p>
    <w:p>
      <w:r>
        <w:t>1. Obstarávatelia môžu uzatvárať rámcové dohody podľa postupov uvedených v hlave I tejto časti. Pravidlá tohto nariadenia pre verejné zákazky sa uplatňujú mutatis mutandis na rámcové dohody, pokiaľ sa v tomto článku nestanovuje inak.</w:t>
      </w:r>
    </w:p>
    <w:p>
      <w:r>
        <w:t>„Rámcová dohoda“ je dohoda medzi jedným alebo viacerými obstarávateľmi a jedným alebo viacerými hospodárskymi subjektmi s cieľom stanoviť podmienky upravujúce zákazky, ktoré sa môžu zadávať počas daného obdobia.</w:t>
      </w:r>
    </w:p>
    <w:p>
      <w:r>
        <w:t>2. Trvanie rámcovej dohody nepresiahne:</w:t>
      </w:r>
    </w:p>
    <w:p>
      <w:r>
        <w:t>a) tri roky v prípade rámcových dohôd s jedným hospodárskym subjektom; alebo</w:t>
      </w:r>
    </w:p>
    <w:p>
      <w:r>
        <w:t>b) päť rokov v prípade rámcových dohôd s viacerými hospodárskymi subjektmi.</w:t>
      </w:r>
    </w:p>
    <w:p>
      <w:r>
        <w:t>Maximálne trvanie rámcovej dohody sa môže vo výnimočných prípadoch stanoviť na dlhšie obdobie, ak je to riadne odôvodnené zložitosťou alebo špecializovanou povahou obstarávania a trvanie nie je dlhšie, ako je nevyhnutne potrebné vzhľadom na okolnosti daného obstarávania.</w:t>
      </w:r>
    </w:p>
    <w:p>
      <w:r>
        <w:t>3. Obstarávateľ uvedie svoj zámer uzavrieť rámcovú dohodu prostredníctvom verejného zhrnutia súťaže. Verejné zhrnutie obsahuje aj trvanie a maximálnu kumulatívnu hodnotu alebo objemy zákaziek, ktorých uzavretie sa očakáva na základe rámcovej dohody počas jej trvania. Maximálne hodnoty sa môžu upraviť vo verejnom súhrne výsledkov za predpokladu, že akákoľvek úprava je primeraná podmienkam úspešnej ponuky alebo ponúk.</w:t>
      </w:r>
    </w:p>
    <w:p>
      <w:r>
        <w:t>4. Podrobnosti o obstarávaní zahŕňajú nediskriminačné a objektívne kritériá, ktoré sa použijú na uzavretie následných zmlúv na základe rámcovej dohody. Ak sa rámcová dohoda uzatvára s viac ako jedným hospodárskym subjektom, v kritériách sa buď stanovia pravidlá opätovného otvorenia súťaže medzi hospodárskymi subjektmi, ktoré sú zmluvnými stranami rámcovej dohody, alebo sa v nich stanovia všetky podmienky zadávania a plnenia zákaziek, prípadne ich kombinácia.</w:t>
      </w:r>
    </w:p>
    <w:p>
      <w:r>
        <w:t>Obstarávatelia uverejnia verejné zhrnutie výsledku podľa článku 110 pre každú zmluvu uzavretú na základe rámcovej dohody. Trvanie zmlúv založených na rámcovej dohode nesmie presiahnuť koniec trvania rámcovej dohody o viac ako 50 % trvania rámcovej dohody.</w:t>
      </w:r>
    </w:p>
    <w:p>
      <w:pPr>
        <w:pStyle w:val="Heading2"/>
        <w:jc w:val="center"/>
      </w:pPr>
      <w:r>
        <w:t>Kapitola 4</w:t>
      </w:r>
    </w:p>
    <w:p>
      <w:pPr>
        <w:pStyle w:val="Heading2"/>
        <w:jc w:val="center"/>
      </w:pPr>
      <w:r>
        <w:t>Plnenie zmluvy</w:t>
      </w:r>
    </w:p>
    <w:p>
      <w:pPr>
        <w:pStyle w:val="Heading3"/>
        <w:jc w:val="center"/>
      </w:pPr>
      <w:r>
        <w:t>Článok 104</w:t>
      </w:r>
    </w:p>
    <w:p>
      <w:pPr>
        <w:pStyle w:val="Heading4"/>
        <w:jc w:val="center"/>
      </w:pPr>
      <w:r>
        <w:t>Podmienky plnenia zákaziek</w:t>
      </w:r>
    </w:p>
    <w:p>
      <w:r>
        <w:t>1. Obstarávatelia môžu stanoviť podmienky týkajúce sa plnenia zákazky za predpokladu, že súvisia s predmetom zákazky v súlade s článkom 90 a sú jasne uvedené v podrobnostiach obstarávania.</w:t>
      </w:r>
    </w:p>
    <w:p>
      <w:r>
        <w:t>2. Tieto podmienky môžu okrem všeobecných zmluvných, technických, kvalitatívnych a ekonomických aspektov, ako je indexácia cien, zahŕňať aj podmienky týkajúce sa strategických aspektov vrátane:</w:t>
      </w:r>
    </w:p>
    <w:p>
      <w:r>
        <w:t>a) environmentálne aspekty vymedzené v článku 50, ako je nakladanie s odpadom, dodržiavanie náležitej starostlivosti v oblasti udržateľnosti a podávanie správ o udržateľnosti pri plnení zákazky alebo iné požiadavky v obehovom hospodárstve;</w:t>
      </w:r>
    </w:p>
    <w:p>
      <w:r>
        <w:t>b) aspekty zamestnania, ako sú spravodlivé pracovné podmienky pracovníkov zamestnaných pri plnení zmluvy vrátane odmeňovania, ako aj bezpečnosť a ochrana zdravia pri práci;</w:t>
      </w:r>
    </w:p>
    <w:p>
      <w:r>
        <w:t>c) iné sociálne aspekty vymedzené v článku 55, ako je vykonávanie vhodných procesov prevencie a zmierňovania vplyvov na ľudské práva, ktoré vznikajú pri plnení zákazky;</w:t>
      </w:r>
    </w:p>
    <w:p>
      <w:r>
        <w:t>d) inovačné ciele opísané v článku 59, ako napríklad podpora neustáleho zlepšovania riešenia;</w:t>
      </w:r>
    </w:p>
    <w:p>
      <w:r>
        <w:t>e) záujmy bezpečnosti a ochrany verejnosti opísané v článku 66 alebo požiadavky na odolnosť a bezpečnosť dodávok stanovené v článku 69, ako je bezpečnostná previerka zamestnancov, obmedzenia manipulácie alebo nepretržité dodržiavanie a zlepšovanie dodávateľského reťazca.</w:t>
      </w:r>
    </w:p>
    <w:p>
      <w:pPr>
        <w:pStyle w:val="Heading3"/>
        <w:jc w:val="center"/>
      </w:pPr>
      <w:r>
        <w:t>Článok 105</w:t>
      </w:r>
    </w:p>
    <w:p>
      <w:pPr>
        <w:pStyle w:val="Heading4"/>
        <w:jc w:val="center"/>
      </w:pPr>
      <w:r>
        <w:t>Mechanizmy úpravy</w:t>
      </w:r>
    </w:p>
    <w:p>
      <w:r>
        <w:t>1. Obstarávatelia môžu do podrobností verejného obstarávania zahrnúť doložky, ktorými sa stanovujú mechanizmy na úpravu podmienok zákazky počas jej trvania, za predpokladu, že tieto mechanizmy:</w:t>
      </w:r>
    </w:p>
    <w:p>
      <w:r>
        <w:t>a) sú objektívne odôvodnené vzhľadom na povahu zákazky;</w:t>
      </w:r>
    </w:p>
    <w:p>
      <w:r>
        <w:t>b) zachovať hospodársku rovnováhu zákazky;</w:t>
      </w:r>
    </w:p>
    <w:p>
      <w:r>
        <w:t>c) ustanovenia sú jasné, presné a jednoznačné.</w:t>
      </w:r>
    </w:p>
    <w:p>
      <w:r>
        <w:t>2. Mechanizmy úpravy uvedené v odseku 1 sa môžu týkať najmä:</w:t>
      </w:r>
    </w:p>
    <w:p>
      <w:r>
        <w:t>a) vopred vymedzené pravidlá úpravy príjmov vrátane zmien súvisiacich s dopytom alebo úrovňami využívania;</w:t>
      </w:r>
    </w:p>
    <w:p>
      <w:r>
        <w:t>b) mechanizmy indexácie vrátane tých, ktoré sú spojené s objektívnymi hospodárskymi ukazovateľmi, ako sú cenové indexy, miery inflácie alebo volatilita vstupných nákladov, napríklad v prípade kľúčových materiálov;</w:t>
      </w:r>
    </w:p>
    <w:p>
      <w:r>
        <w:t>c) úpravy platieb na základe výkonnosti spojené s dosiahnutím kvalitatívnych alebo výkonnostných cieľov týkajúcich sa dodania stavebných prác alebo poskytnutia služieb.</w:t>
      </w:r>
    </w:p>
    <w:p>
      <w:r>
        <w:t>3. Úpravy zmluvy na základe takýchto doložiek sa nepovažujú za úpravy podľa článku 106.</w:t>
      </w:r>
    </w:p>
    <w:p>
      <w:pPr>
        <w:pStyle w:val="Heading3"/>
        <w:jc w:val="center"/>
      </w:pPr>
      <w:r>
        <w:t>Článok 106</w:t>
      </w:r>
    </w:p>
    <w:p>
      <w:pPr>
        <w:pStyle w:val="Heading4"/>
        <w:jc w:val="center"/>
      </w:pPr>
      <w:r>
        <w:t>Úpravy zmlúv počas ich platnosti</w:t>
      </w:r>
    </w:p>
    <w:p>
      <w:r>
        <w:t>1. Obstarávatelia môžu upraviť zadané zákazky alebo rámcové dohody počas ich platnosti bez nového postupu obstarávania za predpokladu, že úprava nie je podstatná v zmysle odseku 3 alebo patrí do jedného z prípadov uvedených v odseku 4. Každá takáto úprava zodpovedá objektívnym potrebám, ktoré vznikli počas plnenia zmluvy, obmedzuje sa na to, čo je nevyhnutné a primerané na zabezpečenie jej plnenia a kontinuity, a nemení počiatočnú hospodársku rovnováhu zmluvy v prospech dodávateľa.</w:t>
      </w:r>
    </w:p>
    <w:p>
      <w:r>
        <w:t>2. Úprava, ktorej hodnota nepresahuje 15 % hodnoty pôvodnej zákazky, sa považuje za nepodstatnú a môže sa vykonať bez nového postupu obstarávania za predpokladu, že takáto úprava nemení pôvodnú hospodársku rovnováhu zákazky.</w:t>
      </w:r>
    </w:p>
    <w:p>
      <w:r>
        <w:t>Ak sa vykoná niekoľko po sebe nasledujúcich úprav, prahové hodnoty sa posúdia na základe čistej kumulatívnej hodnoty po sebe nasledujúcich úprav.</w:t>
      </w:r>
    </w:p>
    <w:p>
      <w:r>
        <w:t>3. Úprava sa považuje za podstatnú, ak sa ňou zavádzajú podmienky, ktoré by v prípade, že by boli súčasťou pôvodného postupu obstarávania, zmenili podmienky hospodárskej súťaže, alebo ak sa ňou menia základné podmienky zákazky, ako je rozsah zákazky, počiatočná hospodárska rovnováha v prospech dodávateľa alebo totožnosť pôvodného dodávateľa, v iných prípadoch, než sú prípady uvedené v odseku 4 písm. c).</w:t>
      </w:r>
    </w:p>
    <w:p>
      <w:r>
        <w:t>4. Za predpokladu, že sa tým nezmení pôvodná ekonomická rovnováha zmluvy v prospech dodávateľa, podstatné úpravy sú prípustné v zmysle odseku 1 len v týchto prípadoch:</w:t>
      </w:r>
    </w:p>
    <w:p>
      <w:r>
        <w:t>a) ak sa počas plnenia zákazky stali potrebnými dodatočné práce, služby alebo tovar za predpokladu, že zmena dodávateľa nie je technicky alebo ekonomicky uskutočniteľná, a to aj z dôvodu vzájomnej závislosti existujúcich prác alebo služieb, alebo preto, že by viedla k podstatnému zvýšeniu nákladov;</w:t>
      </w:r>
    </w:p>
    <w:p>
      <w:r>
        <w:t>b) ak je úprava potrebná z dôvodu okolností, ktoré obozretný obstarávateľ nemohol odôvodnene predvídať v čase začatia postupu a ktoré významne ovplyvňujú plnenie alebo uskutočniteľnosť zákazky, vrátane:</w:t>
      </w:r>
    </w:p>
    <w:p>
      <w:r>
        <w:t>i) podstatné zmeny v uplatniteľnom regulačnom alebo právnom rámci;</w:t>
      </w:r>
    </w:p>
    <w:p>
      <w:r>
        <w:t>ii) významný technologický vývoj;</w:t>
      </w:r>
    </w:p>
    <w:p>
      <w:r>
        <w:t>iii) narušenia, núdzové situácie alebo krízy s významným hospodárskym, spoločenským alebo operačným vplyvom;</w:t>
      </w:r>
    </w:p>
    <w:p>
      <w:r>
        <w:t>c) ak je pôvodný dodávateľ nahradený iným subjektom z dôvodu:</w:t>
      </w:r>
    </w:p>
    <w:p>
      <w:r>
        <w:t>i) fúzia, prevzatie, akvizícia, platobná neschopnosť alebo iná reštrukturalizácia podniku, iný hospodársky subjekt úplne alebo čiastočne vstúpi do práv a povinností pôvodného dodávateľa za predpokladu, že nový subjekt spĺňa pôvodné kvalitatívne kritériá výberu; že sa v zmluve nevykonali žiadne iné podstatné úpravy a že účelom nahradenia nie je obísť uplatňovanie tohto nariadenia; alebo</w:t>
      </w:r>
    </w:p>
    <w:p>
      <w:r>
        <w:t>ii) obstarávateľ preberajúci záväzky hlavného dodávateľa voči jeho subdodávateľom, ak je to možné stanovené vo vnútroštátnom práve.</w:t>
      </w:r>
    </w:p>
    <w:p>
      <w:r>
        <w:t>5. Pred úpravou zmluvy obstarávateľ na základe objektívnych a overiteľných prvkov preukáže, že podmienky stanovené v odseku 1 sú splnené. Obstarávatelia vedú podrobné písomné záznamy o základných prvkoch úpravy vrátane jej odôvodnenia, nevyhnutnosti alebo vhodnosti a jej vplyve na hospodársku rovnováhu zákazky, najmä rozdelenie rizík a hospodárskych výhod, s cieľom odôvodniť rozhodnutia o zmene zákazky a umožniť príslušným orgánom dohľadu, auditu a preskúmania overenie súladu s týmto článkom.</w:t>
      </w:r>
    </w:p>
    <w:p>
      <w:r>
        <w:t>6. Pred každou úpravou zákazky, ktorá presahuje 50 % pôvodnej predpokladanej hodnoty zákazky, obstarávatelia uverejnia na tento účel verejné zhrnutie úpravy. Toto verejné zhrnutie obsahuje odôvodnenie zmeny bez nového postupu obstarávania a informácie stanovené v článku 110.</w:t>
      </w:r>
    </w:p>
    <w:p>
      <w:r>
        <w:t>Cieľom následných úprav nesmie byť obchádzanie tohto nariadenia.</w:t>
      </w:r>
    </w:p>
    <w:p>
      <w:r>
        <w:t>Odchylne od prvého pododseku tohto odseku sa povinnosť predchádzajúceho uverejnenia neuplatňuje, ak naliehavosť vyplývajúca z núdzovej situácie určenej v súlade s článkom 48 neumožňuje predchádzajúce uverejnenie verejného zhrnutia úpravy. V takom prípade obstarávatelia uverejnia verejné zhrnutie úpravy podľa odseku 7 tohto článku.</w:t>
      </w:r>
    </w:p>
    <w:p>
      <w:r>
        <w:t>7. Ak obstarávatelia podstatne upravia zákazku podľa odseku 4 tohto článku a úprava nepresiahne 50 % pôvodnej predpokladanej hodnoty zákazky, uverejnia verejné zhrnutie úpravy obsahujúce informácie stanovené v článku 110 do 20 dní odo dňa vykonania úpravy.</w:t>
      </w:r>
    </w:p>
    <w:p>
      <w:r>
        <w:t>8. Na účely výpočtu hodnoty uvedenej v odsekoch 2, 6 a 7 je referenčnou hodnotou aktualizovaná hodnota, ak zmluva obsahuje doložku o indexácii. Ak zmluva neobsahuje doložku o indexácii, aktualizovaná hodnota sa vypočíta s prihliadnutím na priemernú infláciu v členskom štáte obstarávateľa.</w:t>
      </w:r>
    </w:p>
    <w:p>
      <w:r>
        <w:t>9. Úpravy zmluvy sa nesmú použiť na nápravu nedostatkov v plnení dodávateľa, ktoré nie sú odôvodnené okolnosťami mimo jeho kontroly.</w:t>
      </w:r>
    </w:p>
    <w:p>
      <w:pPr>
        <w:pStyle w:val="Heading3"/>
        <w:jc w:val="center"/>
      </w:pPr>
      <w:r>
        <w:t>Článok 107</w:t>
      </w:r>
    </w:p>
    <w:p>
      <w:pPr>
        <w:pStyle w:val="Heading4"/>
        <w:jc w:val="center"/>
      </w:pPr>
      <w:r>
        <w:t>Ukončenie zmlúv</w:t>
      </w:r>
    </w:p>
    <w:p>
      <w:r>
        <w:t>Bez toho, aby boli dotknuté akékoľvek iné dôvody na vypovedanie zmluvy stanovené v tomto zákone alebo v uplatniteľnom vnútroštátnom práve, obstarávatelia vypovedajú zmluvu, ak:</w:t>
      </w:r>
    </w:p>
    <w:p>
      <w:r>
        <w:t>a) hospodársky subjekt sa stane predmetom konečného odsudzujúceho rozsudku z jedného z dôvodov uvedených v článku 25 s výnimkou prípadov, keď obstarávateľ zistí, že takéto ukončenie nie je opodstatnené z dôvodov vyššieho verejného záujmu a právoplatný rozsudok tomu nebráni;</w:t>
      </w:r>
    </w:p>
    <w:p>
      <w:r>
        <w:t>b) zákazka ani jej zmena sa nemali zadať dodávateľovi vzhľadom na závažné porušenie povinností vyplývajúcich zo zmlúv a z tohto nariadenia, ktoré konštatoval Súdny dvor Európskej únie v konaní podľa článku 258 zmluvy.</w:t>
      </w:r>
    </w:p>
    <w:p>
      <w:pPr>
        <w:pStyle w:val="Heading3"/>
        <w:jc w:val="center"/>
      </w:pPr>
      <w:r>
        <w:t>Článok 108</w:t>
      </w:r>
    </w:p>
    <w:p>
      <w:pPr>
        <w:pStyle w:val="Heading4"/>
        <w:jc w:val="center"/>
      </w:pPr>
      <w:r>
        <w:t>Platby</w:t>
      </w:r>
    </w:p>
    <w:p>
      <w:r>
        <w:t>1. Bez toho, aby boli dotknuté ich povinnosti podľa smernice Európskeho parlamentu a Rady 2011/7/EÚ[67], obstarávatelia zabezpečia včasné platby dodávateľom a prípadne subdodávateľom.</w:t>
      </w:r>
    </w:p>
    <w:p>
      <w:r>
        <w:t>2. Obstarávatelia môžu ako súčasť podmienok plnenia zmluvy podľa článku 104 stanoviť, že dodávatelia prejdú rovnocennými platobnými podmienkami v dodávateľskom reťazci, ako sa stanovuje v príslušných ustanoveniach smernice Európskeho parlamentu a Rady 2011/7/EÚ.</w:t>
      </w:r>
    </w:p>
    <w:p>
      <w:r>
        <w:t>3. Členské štáty poskytujú prostredníctvom národného dátového priestoru pre verejné obstarávanie (NPPDS) informácie o stave platieb v súvislosti s každou jednotlivou dotknutou zákazkou podľa článku 134 ods. 4.</w:t>
      </w:r>
    </w:p>
    <w:p>
      <w:r>
        <w:t>4. Členské štáty sprístupnia informácie o obstarávaní týkajúcom sa dodržiavania predpisov v oblasti včasných platieb za každé ročné vykazované obdobie za každého obstarávateľa podľa článku 134 ods. 4.</w:t>
      </w:r>
    </w:p>
    <w:p>
      <w:r>
        <w:t>5. Okrem článku 44 ods. 6 môžu obstarávatelia stanoviť zálohové platby v podrobnostiach verejného obstarávania, najmä s cieľom podporiť účasť MSP. Ak má predmetná zákazka osobitný význam z hľadiska inovácií stanovených v hlave II kapitole 3 tejto časti a pokiaľ to nie je odôvodnené prevažujúcim záujmom obstarávateľa, obstarávatelia poskytnú dodávateľovi primeranú zálohovú platbu.</w:t>
      </w:r>
    </w:p>
    <w:p>
      <w:r>
        <w:t>6. Na žiadosť subdodávateľa a ak to umožňuje povaha zákazky, obstarávateľ prevedie splatné platby za služby, tovar alebo práce poskytnuté hlavnému zhotoviteľovi priamo subdodávateľovi. Takéto opatrenia môžu zahŕňať vhodné mechanizmy umožňujúce hlavnému dodávateľovi namietať voči nenáležitým platbám. Podmienky týkajúce sa tohto spôsobu platby sa stanovia v podrobnostiach verejného obstarávania.</w:t>
      </w:r>
    </w:p>
    <w:p>
      <w:r>
        <w:rPr>
          <w:sz w:val="16"/>
        </w:rPr>
        <w:t>67 Smernica Európskeho parlamentu a Rady 2011/7/EÚ zo 16. februára 2011 o boji proti oneskoreným platbám v obchodných transakciách (prepracované znenie) (Ú. v. EÚ L 48, 23.2.2011, s. 1, ELI: http://data.europa.eu/eli/dir/2011/7/oj).</w:t>
      </w:r>
    </w:p>
    <w:p>
      <w:pPr>
        <w:pStyle w:val="Heading2"/>
        <w:jc w:val="center"/>
      </w:pPr>
      <w:r>
        <w:t>Kapitola 5</w:t>
      </w:r>
    </w:p>
    <w:p>
      <w:pPr>
        <w:pStyle w:val="Heading2"/>
        <w:jc w:val="center"/>
      </w:pPr>
      <w:r>
        <w:t>Pravidlá uverejňovania a dokumentácie</w:t>
      </w:r>
    </w:p>
    <w:p>
      <w:pPr>
        <w:pStyle w:val="Heading3"/>
        <w:jc w:val="center"/>
      </w:pPr>
      <w:r>
        <w:t>Článok 109</w:t>
      </w:r>
    </w:p>
    <w:p>
      <w:pPr>
        <w:pStyle w:val="Heading4"/>
        <w:jc w:val="center"/>
      </w:pPr>
      <w:r>
        <w:t>Dokumentácia jednotlivých postupov</w:t>
      </w:r>
    </w:p>
    <w:p>
      <w:r>
        <w:t>1. Obstarávatelia zaznamenajú v službe elektronického obstarávania obstarávateľa a sprístupnia v NPPDS podľa článku 134 potrebnú dokumentáciu na odôvodnenie rozhodnutí prijatých vo všetkých fázach postupu obstarávania, najmä dokumentáciu o komunikácii s hospodárskymi subjektmi vrátane prípadných rokovaní a interných rozhodnutí o príprave alebo oprave podrobností obstarávania, a to aj po prípadných rokovaniach, pri výbere hospodárskych subjektov a zadaní zákazky. Dokumentácia sa uchováva počas obdobia najmenej troch rokov odo dňa zadania zákazky s výnimkou prípadov, keď sa podľa uplatniteľného práva Únie alebo vnútroštátneho práva vyžaduje dlhšie obdobie.</w:t>
      </w:r>
    </w:p>
    <w:p>
      <w:r>
        <w:t>2. Informácie o obstarávaní a rozhodnutia o obstarávaní sa zaznamenávajú a spravujú tak, aby bolo možné identifikovať ich pôvod, vývoj, odôvodnenie a históriu schvaľovania počas celého ich životného cyklu.</w:t>
      </w:r>
    </w:p>
    <w:p>
      <w:r>
        <w:t>3. Obstarávatelia zahrnú do svojej dokumentácie všetky zistené konflikty záujmov, narušenia integrity a významné riziká pre bezpečnosť alebo verejnú bezpečnosť, ktoré majú vplyv na postupy obstarávania alebo plnenie zmlúv, ako aj prijaté zmierňujúce opatrenia.</w:t>
      </w:r>
    </w:p>
    <w:p>
      <w:pPr>
        <w:pStyle w:val="Heading3"/>
        <w:jc w:val="center"/>
      </w:pPr>
      <w:r>
        <w:t>Článok 110</w:t>
      </w:r>
    </w:p>
    <w:p>
      <w:pPr>
        <w:pStyle w:val="Heading4"/>
        <w:jc w:val="center"/>
      </w:pPr>
      <w:r>
        <w:t>Informácie o uverejňovaní vo verejných súhrnoch</w:t>
      </w:r>
    </w:p>
    <w:p>
      <w:r>
        <w:t>1. Obstarávatelia uverejnia informácie v súlade s článkom 112 so všetkými týmito verejnými súhrnmi:</w:t>
      </w:r>
    </w:p>
    <w:p>
      <w:r>
        <w:t>a) konzultácie;</w:t>
      </w:r>
    </w:p>
    <w:p>
      <w:r>
        <w:t>b) hospodárska súťaž;</w:t>
      </w:r>
    </w:p>
    <w:p>
      <w:r>
        <w:t>c) výsledok;</w:t>
      </w:r>
    </w:p>
    <w:p>
      <w:r>
        <w:t>d) zmluva;</w:t>
      </w:r>
    </w:p>
    <w:p>
      <w:r>
        <w:t>e) úprava;</w:t>
      </w:r>
    </w:p>
    <w:p>
      <w:r>
        <w:t>f) dokončenie.</w:t>
      </w:r>
    </w:p>
    <w:p>
      <w:r>
        <w:t>2. Uverejnenie verejného zhrnutia konzultácií, ako sa uvádza v článku 30, zahŕňa všetky tieto informácie:</w:t>
      </w:r>
    </w:p>
    <w:p>
      <w:r>
        <w:t>a) určenie organizácií relevantných pre konzultáciu; podielu a</w:t>
      </w:r>
    </w:p>
    <w:p>
      <w:r>
        <w:t>b) účel konzultácie vrátane spôsobu, komunikácie a podmienok predkladania;</w:t>
      </w:r>
    </w:p>
    <w:p>
      <w:r>
        <w:t>c) iné potrebné informácie týkajúce sa konzultácie.</w:t>
      </w:r>
    </w:p>
    <w:p>
      <w:r>
        <w:t>3. Uverejnenie verejného zhrnutia súťaže, ako sa uvádza v článkoch 34, 37, 42, 49 a 103, obsahuje všetky tieto informácie:</w:t>
      </w:r>
    </w:p>
    <w:p>
      <w:r>
        <w:t>a) určenie organizácií relevantných pre daný postup;</w:t>
      </w:r>
    </w:p>
    <w:p>
      <w:r>
        <w:t>b) účel postupu vrátane metódy, komunikácie a podmienok predkladania;</w:t>
      </w:r>
    </w:p>
    <w:p>
      <w:r>
        <w:t>c) opis obstarávania vrátane povahy, množstva alebo odhadovaného množstva a načasovania nákupov;</w:t>
      </w:r>
    </w:p>
    <w:p>
      <w:r>
        <w:t>d) trvanie platnosti postupu;</w:t>
      </w:r>
    </w:p>
    <w:p>
      <w:r>
        <w:t>e) zmluvné podmienky;</w:t>
      </w:r>
    </w:p>
    <w:p>
      <w:r>
        <w:t>f) prípadne informácie o strategickej povahe obstarávania, ako je plnenie environmentálnych, sociálnych alebo inovačných cieľov, ako aj o vhodnosti obstarávania pre MSP;</w:t>
      </w:r>
    </w:p>
    <w:p>
      <w:r>
        <w:t>g) Rozsah pôsobnosti dohody GPA;</w:t>
      </w:r>
    </w:p>
    <w:p>
      <w:r>
        <w:t>h) iné potrebné informácie týkajúce sa hospodárskej súťaže.</w:t>
      </w:r>
    </w:p>
    <w:p>
      <w:r>
        <w:t>4. Uverejnenie verejného zhrnutia výsledkov podľa článkov 40, 44, 46, 49, 103 a 111 zahŕňa tieto informácie:</w:t>
      </w:r>
    </w:p>
    <w:p>
      <w:r>
        <w:t>a) určenie organizácií relevantných pre daný postup;</w:t>
      </w:r>
    </w:p>
    <w:p>
      <w:r>
        <w:t>b) účel postupu;</w:t>
      </w:r>
    </w:p>
    <w:p>
      <w:r>
        <w:t>c) výsledok postupu vrátane zrušenia;</w:t>
      </w:r>
    </w:p>
    <w:p>
      <w:r>
        <w:t>d) v prípade zákaziek zadaných podľa článku 46: odôvodnenie rozhodnutia obstarávateľa o zadaní zákazky v súlade s uvedeným ustanovením;</w:t>
      </w:r>
    </w:p>
    <w:p>
      <w:r>
        <w:t>e) v prípade zákaziek zadaných podľa článku 46: opis žiadosti, ako sa uvádza vo výzve na rokovanie, v žiadosti o predloženie ponuky alebo v žiadosti o dodanie riešenia na základe faktúry;</w:t>
      </w:r>
    </w:p>
    <w:p>
      <w:r>
        <w:t>f) v náležitých prípadoch údaj o strategickej povahe obstarávania, ako je plnenie environmentálnych, sociálnych alebo inovačných cieľov, ako aj údaj o účasti MSP;</w:t>
      </w:r>
    </w:p>
    <w:p>
      <w:r>
        <w:t>g) Rozsah pôsobnosti dohody GPA; podielu a</w:t>
      </w:r>
    </w:p>
    <w:p>
      <w:r>
        <w:t>h) iné potrebné informácie týkajúce sa výsledku.</w:t>
      </w:r>
    </w:p>
    <w:p>
      <w:r>
        <w:t>5. Uverejnenie verejného zhrnutia zmluvy o úprave alebo dokončení, ako sa stanovuje v článkoch 106, 111 a 125, zahŕňa podľa potreby všetky tieto informácie:</w:t>
      </w:r>
    </w:p>
    <w:p>
      <w:r>
        <w:t>a) určenie organizácií relevantných pre zmluvu;</w:t>
      </w:r>
    </w:p>
    <w:p>
      <w:r>
        <w:t>b) účel zmluvy;</w:t>
      </w:r>
    </w:p>
    <w:p>
      <w:r>
        <w:t>c) všetky informácie o zmluve uverejnené podľa tohto odseku a zmenené úpravou;</w:t>
      </w:r>
    </w:p>
    <w:p>
      <w:r>
        <w:t>d) dôvody zmeny;</w:t>
      </w:r>
    </w:p>
    <w:p>
      <w:r>
        <w:t>e) výsledok zmluvy vrátane informácií o ukončení;</w:t>
      </w:r>
    </w:p>
    <w:p>
      <w:r>
        <w:t>f) iné potrebné informácie týkajúce sa zmluvy, zmeny alebo doplnenia.</w:t>
      </w:r>
    </w:p>
    <w:p>
      <w:r>
        <w:t>6. Komisia je splnomocnená prijímať delegované akty v súlade s článkom 141 s cieľom zmeniť informácie v každom verejnom zhrnutí uvedenom v odsekoch 2 až 6 tohto článku v súlade s potrebami vykonávania.</w:t>
      </w:r>
    </w:p>
    <w:p>
      <w:r>
        <w:t>7. Komisia je splnomocnená prijímať vykonávacie akty, v ktorých sa podrobnejšie uvedú konkrétne informácie, ktoré má obsahovať každé verejné zhrnutie opísané v odsekoch 2 až 6, stanoví sa prepojenie verejných zhrnutí a postupnosť konkrétnych informácií obsiahnutých vo viacerých verejných zhrnutiach a stanovia sa požiadavky na obstarávateľov na opätovné použitie informácií, ktoré už boli poskytnuté vo verejnom zhrnutí, ako aj požiadavky na poskytovateľov služieb elektronického obstarávania, aby poskytovali zodpovedajúcu službu opätovného použitia. Uvedené vykonávacie akty sa prijmú v súlade s konzultačným postupom uvedeným v článku 143 ods. 2.</w:t>
      </w:r>
    </w:p>
    <w:p>
      <w:pPr>
        <w:pStyle w:val="Heading3"/>
        <w:jc w:val="center"/>
      </w:pPr>
      <w:r>
        <w:t>Článok 111</w:t>
      </w:r>
    </w:p>
    <w:p>
      <w:pPr>
        <w:pStyle w:val="Heading4"/>
        <w:jc w:val="center"/>
      </w:pPr>
      <w:r>
        <w:t>Uverejnenie verejného zhrnutia výsledku, zmluvy a dokončenia</w:t>
      </w:r>
    </w:p>
    <w:p>
      <w:r>
        <w:t>1. Obstarávatelia zašlú najneskôr do 20 dní tieto informácie o obstarávaní podľa článku 110:</w:t>
      </w:r>
    </w:p>
    <w:p>
      <w:r>
        <w:t>a) po ukončení trhovej konzultácie, rozhodnutí o zadaní zákazky alebo zrušení postupu obstarávania, alebo ako sa uvádza v článkoch 40, 44, 46, 49 a 103, obstarávatelia zašlú verejné zhrnutie výsledku;</w:t>
      </w:r>
    </w:p>
    <w:p>
      <w:r>
        <w:t>b) po uzavretí zmluvy, ak predchádzajúci postup obstarávania patril do rozsahu pôsobnosti tohto nariadenia, obstarávatelia zašlú verejné zhrnutie zmluvy;</w:t>
      </w:r>
    </w:p>
    <w:p>
      <w:r>
        <w:t>c) po dokončení plnenia zákazky, ak predchádzajúci postup obstarávania patril do rozsahu pôsobnosti tohto nariadenia, obstarávatelia zašlú verejné zhrnutie dokončenia, a to aj odo dňa príslušnej udalosti, ak zadaná zákazka nebola uzavretá alebo ak plnenie zákazky nebolo ukončené, a to aj z dôvodu ukončenia podľa článkov 107 a 126 odo dňa príslušnej udalosti.</w:t>
      </w:r>
    </w:p>
    <w:p>
      <w:r>
        <w:t>2. Určité informácie sa nemusia zverejniť, ak by ich zverejnenie bránilo presadzovaniu práva alebo bolo inak v rozpore s verejným záujmom, škodilo oprávneným obchodným záujmom konkrétneho hospodárskeho subjektu, či už verejného alebo súkromného, mohlo by brániť spravodlivej hospodárskej súťaži medzi hospodárskymi subjektmi. Takéto informácie sa však zároveň poskytnú NPPDS podľa článku 134 ako verejne nedostupné informácie.</w:t>
      </w:r>
    </w:p>
    <w:p>
      <w:r>
        <w:t>3. Obstarávatelia zabezpečia úplné, správne a včasné poskytnutie informácií o obstarávaní NPPDS podľa článku 134.</w:t>
      </w:r>
    </w:p>
    <w:p>
      <w:pPr>
        <w:pStyle w:val="Heading3"/>
        <w:jc w:val="center"/>
      </w:pPr>
      <w:r>
        <w:t>Článok 112</w:t>
      </w:r>
    </w:p>
    <w:p>
      <w:pPr>
        <w:pStyle w:val="Heading4"/>
        <w:jc w:val="center"/>
      </w:pPr>
      <w:r>
        <w:t>Forma a spôsob uverejnenia</w:t>
      </w:r>
    </w:p>
    <w:p>
      <w:r>
        <w:t>1. Obstarávatelia zašlú prostredníctvom NPPDS verejné zhrnutia uvedené v článku 110 vrátane zmien informácií Úradu pre vydávanie publikácií Európskej únie a uverejnia ich v dodatku k Úradnému vestníku Európskej únie najneskôr do piatich dní od ich doručenia, pokiaľ obstarávateľ nepožiada o neskorší dátum uverejnenia. Informácie sa považujú za doručené Úradu pre vydávanie publikácií Európskej únie až po ich overení v súlade s požiadavkami na technickú validáciu stanovenými Úniou.</w:t>
      </w:r>
    </w:p>
    <w:p>
      <w:r>
        <w:t>2. Úrad pre vydávanie publikácií Európskej únie zabezpečí, aby boli verejné zhrnutia uvedené v článku 110 k dispozícii:</w:t>
      </w:r>
    </w:p>
    <w:p>
      <w:r>
        <w:t>a) ako jediné autentické znenie aspoň v jednom z úradných jazykov Únie, ktoré poskytol obstarávateľ; podielu a</w:t>
      </w:r>
    </w:p>
    <w:p>
      <w:r>
        <w:t>b) ako neautentické verzie v ostatných úradných jazykoch Únie okrem autentického znenia.</w:t>
      </w:r>
    </w:p>
    <w:p>
      <w:r>
        <w:t>3. Obstarávatelia musia byť schopní predložiť dôkaz o dátume zaslania ich informácií na uverejnenie.</w:t>
      </w:r>
    </w:p>
    <w:p>
      <w:r>
        <w:t>4. Úrad pre vydávanie publikácií Európskej únie vydá NPPDS potvrdenie o prijatí a uverejnení zaslaných verejných zhrnutí s uvedením dátumu uverejnenia. Takéto potvrdenie poskytuje NPPDS obstarávateľovi a predstavuje dôkaz o uverejnení.</w:t>
      </w:r>
    </w:p>
    <w:p>
      <w:r>
        <w:t>5. Obstarávatelia môžu uverejňovať verejné zhrnutia verejných zákaziek, na ktoré sa nevzťahujú požiadavky na uverejňovanie stanovené v tomto nariadení, za predpokladu, že sa zasielajú Úradu pre vydávanie publikácií Európskej únie podľa tohto článku.</w:t>
      </w:r>
    </w:p>
    <w:p>
      <w:r>
        <w:t>6. Náklady na prijímanie, validáciu a uverejňovanie verejných zhrnutí Úradom pre vydávanie publikácií Európskej únie znáša Únia.</w:t>
      </w:r>
    </w:p>
    <w:p>
      <w:r>
        <w:t>7. Komisia je splnomocnená prijímať vykonávacie akty, v ktorých stanoví podrobnosti týkajúce sa poskytovania verejných zhrnutí Úradu pre vydávanie publikácií Európskej únie a zdroj požiadaviek na technickú validáciu uvedených v odseku 1. Tieto vykonávacie akty sa prijímajú v súlade s konzultačným postupom uvedeným v článku 143 ods. 2.</w:t>
      </w:r>
    </w:p>
    <w:p>
      <w:pPr>
        <w:pStyle w:val="Heading3"/>
        <w:jc w:val="center"/>
      </w:pPr>
      <w:r>
        <w:t>Článok 113</w:t>
      </w:r>
    </w:p>
    <w:p>
      <w:pPr>
        <w:pStyle w:val="Heading4"/>
        <w:jc w:val="center"/>
      </w:pPr>
      <w:r>
        <w:t>Uverejnenie na vnútroštátnej úrovni</w:t>
      </w:r>
    </w:p>
    <w:p>
      <w:r>
        <w:t>1. Informácie uvedené v článku 110 alebo vo vykonávacom akte podľa článku 110 ods. 7 sa na vnútroštátnej úrovni neuverejnia pred uverejnením podľa článku 112. Uverejnenie sa však môže v každom prípade uskutočniť na vnútroštátnej úrovni, ak obstarávatelia neboli informovaní o uverejnení do 48 hodín od potvrdenia prijatia informácií v súlade s článkom 112.</w:t>
      </w:r>
    </w:p>
    <w:p>
      <w:r>
        <w:t>2. V informáciách uverejnených na vnútroštátnej úrovni sa uvádza dátum zaslania informácií Úradu pre vydávanie publikácií Európskej únie, ako aj identifikátor informácií týkajúcich sa postupu verejného obstarávania uverejnených podľa článku 112.</w:t>
      </w:r>
    </w:p>
    <w:p>
      <w:pPr>
        <w:pStyle w:val="Heading2"/>
        <w:jc w:val="center"/>
      </w:pPr>
      <w:r>
        <w:t>Časť IV</w:t>
      </w:r>
    </w:p>
    <w:p>
      <w:pPr>
        <w:pStyle w:val="Heading2"/>
        <w:jc w:val="center"/>
      </w:pPr>
      <w:r>
        <w:t>Koncesie</w:t>
      </w:r>
    </w:p>
    <w:p>
      <w:pPr>
        <w:pStyle w:val="Heading2"/>
        <w:jc w:val="center"/>
      </w:pPr>
      <w:r>
        <w:t>Hlava I</w:t>
      </w:r>
    </w:p>
    <w:p>
      <w:pPr>
        <w:pStyle w:val="Heading2"/>
        <w:jc w:val="center"/>
      </w:pPr>
      <w:r>
        <w:t>Všeobecné ustanovenia</w:t>
      </w:r>
    </w:p>
    <w:p>
      <w:pPr>
        <w:pStyle w:val="Heading3"/>
        <w:jc w:val="center"/>
      </w:pPr>
      <w:r>
        <w:t>Článok 114</w:t>
      </w:r>
    </w:p>
    <w:p>
      <w:pPr>
        <w:pStyle w:val="Heading4"/>
        <w:jc w:val="center"/>
      </w:pPr>
      <w:r>
        <w:t>Rozsah pôsobnosti</w:t>
      </w:r>
    </w:p>
    <w:p>
      <w:r>
        <w:t>1. Táto časť sa vzťahuje na koncesie na vykonávanie stavebných prác a poskytovanie služieb v zmysle článku 115.</w:t>
      </w:r>
    </w:p>
    <w:p>
      <w:r>
        <w:t>2. Pokiaľ nie je v tejto časti stanovené inak, na koncesie sa vzťahujú všetky ustanovenia tohto nariadenia uplatniteľné na verejné zákazky.</w:t>
      </w:r>
    </w:p>
    <w:p>
      <w:pPr>
        <w:pStyle w:val="Heading3"/>
        <w:jc w:val="center"/>
      </w:pPr>
      <w:r>
        <w:t>Článok 115</w:t>
      </w:r>
    </w:p>
    <w:p>
      <w:pPr>
        <w:pStyle w:val="Heading4"/>
        <w:jc w:val="center"/>
      </w:pPr>
      <w:r>
        <w:t>Vymedzenie a charakteristické znaky koncesií</w:t>
      </w:r>
    </w:p>
    <w:p>
      <w:r>
        <w:t>1. Na účely tohto nariadenia platia tieto vymedzenia pojmov:</w:t>
      </w:r>
    </w:p>
    <w:p>
      <w:r>
        <w:t>a) „koncesia“ je odplatná zmluva bez ohľadu na jej formálne označenie, v rámci ktorej jeden alebo viacerí obstarávatelia poveria vykonaním stavebných prác alebo poskytnutím a riadením služieb jeden alebo viacero hospodárskych subjektov (ďalej len „koncesionár“) v prospech používateľov a ktorá spĺňa tieto podmienky:</w:t>
      </w:r>
    </w:p>
    <w:p>
      <w:r>
        <w:t>i) odmena koncesionára spočíva buď výlučne v práve na využívanie diela alebo služieb, ktoré sú predmetom zmluvy, alebo v tomto práve spolu s platbou obstarávateľa; podielu a</w:t>
      </w:r>
    </w:p>
    <w:p>
      <w:r>
        <w:t>ii) zahŕňa prenesenie prevádzkového rizika na koncesionára pri využívaní týchto prác alebo služieb, ktorému by bol obstarávateľ vystavený, ak by vykonal práce alebo poskytol služby sám.</w:t>
      </w:r>
    </w:p>
    <w:p>
      <w:r>
        <w:t>b) V koncesii sa stanovujú právne vymožiteľné povinnosti, na základe ktorých obstarávateľ určuje povahu, rozsah a podmienky vykonávania stavebných prác alebo poskytovania a riadenia služieb stanovením osobitných požiadaviek s cieľom zabezpečiť, aby koncesionár plnil tieto úlohy pri plnení cieľov vymedzených týmto obstarávateľom a dodržiaval tieto požiadavky počas celého trvania koncesie.</w:t>
      </w:r>
    </w:p>
    <w:p>
      <w:r>
        <w:t>c) Predmetom koncesie je vykonanie týchto prác alebo poskytnutie týchto služieb a táto koncesia nespočíva len v oprávnení všetkých prevádzkovateľov, ktorí spĺňajú určité podmienky, vykonávať danú úlohu bez akejkoľvek selektivity.</w:t>
      </w:r>
    </w:p>
    <w:p>
      <w:r>
        <w:t>Dohody, ktorých jediným alebo prevažujúcim predmetom je udelenie práva na obývanie alebo využívanie verejnej sféry alebo zdrojov vrátane lízingov alebo iných práv týkajúcich sa verejného majetku, ako aj práv vstupu alebo iných povolení umožňujúcich využívanie verejnej sféry na zavádzanie infraštruktúry alebo siete, a v súvislosti s ktorými obstarávateľ stanoví len všeobecné podmienky používania bez toho, aby poveril vykonaním konkrétnych prác alebo služieb, nepredstavujú koncesie v zmysle tohto nariadenia.</w:t>
      </w:r>
    </w:p>
    <w:p>
      <w:r>
        <w:t>2. Na účely odseku 1 je „prevádzkové riziko“ riziko, že koncesionár za bežných prevádzkových podmienok nezíska späť vynaložené investície a náklady vzniknuté pri vykonávaní stavebných prác alebo poskytovaní a riadení služieb, ktoré sú predmetom koncesie, takže koncesionár znáša riziko strát spojených s plnením koncesie, ako sú riziká spojené s neistotou ovplyvňujúcou dopyt, príjmy, prevádzkové náklady, dostupnosť, technické a prevádzkové podmienky alebo výkonnosť. Prevádzkové riziko zahŕňa skutočné vystavenie meniacim sa trhovým podmienkam a akákoľvek potenciálna odhadovaná strata, ktorá vznikne koncesionárovi, nesmie byť ekonomicky zanedbateľná.</w:t>
      </w:r>
    </w:p>
    <w:p>
      <w:pPr>
        <w:pStyle w:val="Heading3"/>
        <w:jc w:val="center"/>
      </w:pPr>
      <w:r>
        <w:t>Článok 116</w:t>
      </w:r>
    </w:p>
    <w:p>
      <w:pPr>
        <w:pStyle w:val="Heading4"/>
        <w:jc w:val="center"/>
      </w:pPr>
      <w:r>
        <w:t>Zmiešané koncesné zmluvy</w:t>
      </w:r>
    </w:p>
    <w:p>
      <w:r>
        <w:t>1. Okrem článkov 86 a 87 sa uplatniteľný právny režim pre zákazky, ktoré obsahujú prvky koncesií a iných verejných zákaziek (ďalej len „zmiešané koncesné zmluvy“), určí v súlade s odsekmi 2 a 3 tohto článku.</w:t>
      </w:r>
    </w:p>
    <w:p>
      <w:r>
        <w:t>2. Ak sú rôzne časti zmiešanej koncesnej zmluvy objektívne oddeliteľné, ale obstarávateľ ich neobstaráva samostatne, zmiešaná koncesná zmluva sa zadá v súlade s časťou III.</w:t>
      </w:r>
    </w:p>
    <w:p>
      <w:r>
        <w:t>3. Ak jednotlivé časti zmiešanej koncesnej zmluvy nie sú objektívne oddeliteľné, uplatniteľný právny režim sa určí na základe hlavného predmetu danej zákazky.</w:t>
      </w:r>
    </w:p>
    <w:p>
      <w:r>
        <w:t>Ak takáto zákazka obsahuje prvky koncesie na služby a zákazky na dodávku tovaru, hlavný predmet danej zákazky sa určí podľa vyššej z odhadovaných hodnôt príslušných služieb alebo tovaru.</w:t>
      </w:r>
    </w:p>
    <w:p>
      <w:pPr>
        <w:pStyle w:val="Heading3"/>
        <w:jc w:val="center"/>
      </w:pPr>
      <w:r>
        <w:t>Článok 117</w:t>
      </w:r>
    </w:p>
    <w:p>
      <w:pPr>
        <w:pStyle w:val="Heading4"/>
        <w:jc w:val="center"/>
      </w:pPr>
      <w:r>
        <w:t>Vylúčené koncesie</w:t>
      </w:r>
    </w:p>
    <w:p>
      <w:r>
        <w:t>1. Okrem výnimiek stanovených v časti III hlave II kapitole 1 sa toto nariadenie nevzťahuje na tieto koncesie:</w:t>
      </w:r>
    </w:p>
    <w:p>
      <w:r>
        <w:t>a) v prípade služieb leteckej dopravy na základe udelenia prevádzkovej licencie v zmysle nariadenia Európskeho parlamentu a Rady (ES) č. 1008/2008[68];</w:t>
      </w:r>
    </w:p>
    <w:p>
      <w:r>
        <w:t>b) pre služby vo verejnom záujme v osobnej doprave v zmysle nariadenia (ES) č. 1370/2007;</w:t>
      </w:r>
    </w:p>
    <w:p>
      <w:r>
        <w:t>c) na poskytovanie alebo prevádzkovanie pevných sietí určených na poskytovanie služby verejnosti v súvislosti s výrobou, prepravou alebo distribúciou pitnej vody alebo na zásobovanie takýchto sietí pitnou vodou;</w:t>
      </w:r>
    </w:p>
    <w:p>
      <w:r>
        <w:t>d) majú jeden alebo oba z týchto predmetov ochrany, ak súvisia s činnosťou uvedenou v písmene c):</w:t>
      </w:r>
    </w:p>
    <w:p>
      <w:r>
        <w:t>i) vodohospodárske inžinierske projekty, zavlažovanie alebo odvodňovanie pôdy za predpokladu, že objem vody, ktorý sa má použiť na zásobovanie pitnou vodou, predstavuje viac ako 20 % celkového objemu vody sprístupnenej v rámci týchto projektov alebo zariadení na zavlažovanie alebo odvodňovanie;</w:t>
      </w:r>
    </w:p>
    <w:p>
      <w:r>
        <w:t>ii) zneškodňovanie alebo čistenie odpadových vôd;</w:t>
      </w:r>
    </w:p>
    <w:p>
      <w:r>
        <w:t>e) pre služby lotérie, na ktoré sa vzťahuje kód CPV 92351100 – 7, udelené členským štátom hospodárskemu subjektu na základe výlučného práva;</w:t>
      </w:r>
    </w:p>
    <w:p>
      <w:r>
        <w:t>f) udelené hospodárskemu subjektu na základe výlučného práva, ktoré mu bolo udelené v súlade so zmluvou a právnymi predpismi Únie, ktorými sa stanovujú spoločné pravidlá prístupu na trh uplatniteľné na činnosti uvedené v prílohe III, pokiaľ sa v uvedených právnych predpisoch Únie nestanovujú odvetvové povinnosti týkajúce sa transparentnosti, pričom v takom prípade sa uplatňuje článok 20.</w:t>
      </w:r>
    </w:p>
    <w:p>
      <w:r>
        <w:t>2. Ak členský štát udelí hospodárskemu subjektu výhradné právo na vykonávanie jednej z činností uvedených v prílohe IV, informuje o tom Komisiu do jedného mesiaca od udelenia tohto výhradného práva.</w:t>
      </w:r>
    </w:p>
    <w:p>
      <w:r>
        <w:rPr>
          <w:sz w:val="16"/>
        </w:rPr>
        <w:t>68 Nariadenie Európskeho parlamentu a Rady (ES) č. 1008/2008 z 24. septembra 2008 o spoločných pravidlách prevádzky leteckých dopravných služieb v Spoločenstve (prepracované znenie) (Ú. v. EÚ L 293, 31.10.2008, s. 3, ELI: http://data.europa.eu/eli/reg/2008/1008/oj).</w:t>
      </w:r>
    </w:p>
    <w:p>
      <w:pPr>
        <w:pStyle w:val="Heading3"/>
        <w:jc w:val="center"/>
      </w:pPr>
      <w:r>
        <w:t>Článok 118</w:t>
      </w:r>
    </w:p>
    <w:p>
      <w:pPr>
        <w:pStyle w:val="Heading4"/>
        <w:jc w:val="center"/>
      </w:pPr>
      <w:r>
        <w:t>Prahová hodnota a odhad hodnoty koncesie</w:t>
      </w:r>
    </w:p>
    <w:p>
      <w:r>
        <w:t>1. Toto nariadenie sa vzťahuje na koncesie s odhadovanou hodnotou, ktorá sa rovná finančnému limitu uvedenému v článku 2 ods. 1 písm. a) alebo je vyššia.</w:t>
      </w:r>
    </w:p>
    <w:p>
      <w:r>
        <w:t>2. Predpokladaná hodnota koncesie je predpokladaný celkový obrat bez DPH, ktorý koncesionár môže vytvoriť počas maximálneho trvania koncesie podľa odhadu obstarávateľa ako protihodnotu za stavebné práce a služby, ktoré sú predmetom koncesie, a za tovar súvisiaci s takýmito stavebnými prácami a službami.</w:t>
      </w:r>
    </w:p>
    <w:p>
      <w:r>
        <w:t>3. Odhadovaná hodnota koncesie sa vypočíta pomocou objektívnej metódy uvedenej v podrobnostiach obstarávania. Pri výpočte odhadovanej hodnoty koncesie obstarávatelia v prípade potreby zohľadnia najmä:</w:t>
      </w:r>
    </w:p>
    <w:p>
      <w:r>
        <w:t>a) hodnotu každej formy opcie a každé predĺženie trvania koncesie;</w:t>
      </w:r>
    </w:p>
    <w:p>
      <w:r>
        <w:t>b) príjmy z úhrady poplatkov a pokút používateľmi stavebných prác alebo služieb okrem príjmov vybraných v mene obstarávateľa;</w:t>
      </w:r>
    </w:p>
    <w:p>
      <w:r>
        <w:t>c) platby alebo akékoľvek finančné výhody v akejkoľvek forme, ktoré poskytuje obstarávateľ alebo akýkoľvek iný orgán verejnej moci koncesionárovi, vrátane náhrady za plnenie záväzku vyplývajúceho zo služieb vo verejnom záujme a dotácií na verejné investície;</w:t>
      </w:r>
    </w:p>
    <w:p>
      <w:r>
        <w:t>d) hodnota grantov alebo akýchkoľvek iných finančných výhod v akejkoľvek forme poskytnutých tretími stranami na plnenie koncesie;</w:t>
      </w:r>
    </w:p>
    <w:p>
      <w:r>
        <w:t>e) príjmy z predaja akéhokoľvek majetku tvoriaceho súčasť koncesie;</w:t>
      </w:r>
    </w:p>
    <w:p>
      <w:r>
        <w:t>f) hodnotu všetkého tovaru a služieb, ktoré obstarávatelia sprístupnia koncesionárovi, za predpokladu, že sú potrebné na uskutočnenie stavebných prác alebo poskytnutie služieb;</w:t>
      </w:r>
    </w:p>
    <w:p>
      <w:r>
        <w:t>g) všetky ceny, platby, kompenzácie alebo náhrady udelené hospodárskym subjektom v súvislosti s postupom udeľovania koncesie.</w:t>
      </w:r>
    </w:p>
    <w:p>
      <w:pPr>
        <w:pStyle w:val="Heading2"/>
        <w:jc w:val="center"/>
      </w:pPr>
      <w:r>
        <w:t>Hlava II</w:t>
      </w:r>
    </w:p>
    <w:p>
      <w:pPr>
        <w:pStyle w:val="Heading2"/>
        <w:jc w:val="center"/>
      </w:pPr>
      <w:r>
        <w:t>Príprava, návrh a postup</w:t>
      </w:r>
    </w:p>
    <w:p>
      <w:pPr>
        <w:pStyle w:val="Heading3"/>
        <w:jc w:val="center"/>
      </w:pPr>
      <w:r>
        <w:t>Článok 119</w:t>
      </w:r>
    </w:p>
    <w:p>
      <w:pPr>
        <w:pStyle w:val="Heading4"/>
        <w:jc w:val="center"/>
      </w:pPr>
      <w:r>
        <w:t>Zmluvné záväzky týkajúce sa verejných potrieb</w:t>
      </w:r>
    </w:p>
    <w:p>
      <w:r>
        <w:t>1. Obstarávatelia určia v podrobnostiach obstarávania povinné podmienky upravujúce plnenie koncesie, ktoré považujú za potrebné so zreteľom na povahu a predmet dotknutých prác alebo služieb vrátane tých, ktorých cieľom je zabezpečiť kontinuitu, kvalitu, prístupnosť, bezpečnosť a účinnosť prác a služieb poskytovaných používateľom.</w:t>
      </w:r>
    </w:p>
    <w:p>
      <w:r>
        <w:t>2. V prípade potreby sa povinné podmienky upravujúce plnenie koncesie uvedené v odseku 1 stanovia ako jasné, objektívne a merateľné výkonnostné požiadavky vrátane ukazovateľov týkajúcich sa:</w:t>
      </w:r>
    </w:p>
    <w:p>
      <w:r>
        <w:t>a) kvalitu služieb;</w:t>
      </w:r>
    </w:p>
    <w:p>
      <w:r>
        <w:t>b) dostupnosť a nepretržitosť služby;</w:t>
      </w:r>
    </w:p>
    <w:p>
      <w:r>
        <w:t>c) efektívnosť a spoľahlivosť;</w:t>
      </w:r>
    </w:p>
    <w:p>
      <w:r>
        <w:t>d) udržateľnosť a odolnosť.</w:t>
      </w:r>
    </w:p>
    <w:p>
      <w:r>
        <w:t>3. Ak sa stanovia výkonnostné požiadavky v súlade s odsekom 2, podrobnosti obstarávania umožnia účinné monitorovanie výkonnosti a môžu zahŕňať najmä uplatniteľné kľúčové ukazovatele výkonnosti, metódy monitorovania a overovania výkonnosti a prípadne dôsledky výsledkov výkonnosti vrátane stimulov alebo zrážok.</w:t>
      </w:r>
    </w:p>
    <w:p>
      <w:pPr>
        <w:pStyle w:val="Heading3"/>
        <w:jc w:val="center"/>
      </w:pPr>
      <w:r>
        <w:t>Článok 120</w:t>
      </w:r>
    </w:p>
    <w:p>
      <w:pPr>
        <w:pStyle w:val="Heading4"/>
        <w:jc w:val="center"/>
      </w:pPr>
      <w:r>
        <w:t>Štruktúrované posúdenie rizika</w:t>
      </w:r>
    </w:p>
    <w:p>
      <w:r>
        <w:t>1. Pred začatím postupu udeľovania koncesie obstarávatelia vykonajú posúdenie hlavných hospodárskych rizík súvisiacich s plnením koncesie, pričom zohľadnia povahu, trvanie a hospodárske charakteristiky dotknutých stavebných prác alebo služieb.</w:t>
      </w:r>
    </w:p>
    <w:p>
      <w:r>
        <w:t>V posúdení sa určia hlavné kategórie rizík spojených s plnením koncesie, pričom sa rozlišuje medzi prevádzkovými rizikami súvisiacimi s využívaním stavebných prác alebo služieb a vystavením neistotám na trhu na jednej strane a všeobecnými zmluvnými rizikami na strane druhej. V posúdení rizika sa na základe objektívnych prvkov určí rozdelenie týchto rizík medzi strany.</w:t>
      </w:r>
    </w:p>
    <w:p>
      <w:r>
        <w:t>2. V podrobnostiach obstarávania sa môžu stanoviť mechanizmy úprav v súlade s článkom 125, ktorých cieľom je v prípade potreby prerozdeliť alebo zmierniť riziká medzi zmluvné strany so zreteľom na povahu týchto rizík. Existencia takýchto mechanizmov sama osebe nevylučuje kvalifikáciu zákazky ako koncesie za predpokladu, že koncesionár naďalej znáša prevádzkové riziko spojené s využívaním stavebných prác a služieb.</w:t>
      </w:r>
    </w:p>
    <w:p>
      <w:pPr>
        <w:pStyle w:val="Heading3"/>
        <w:jc w:val="center"/>
      </w:pPr>
      <w:r>
        <w:t>Článok 121</w:t>
      </w:r>
    </w:p>
    <w:p>
      <w:pPr>
        <w:pStyle w:val="Heading4"/>
        <w:jc w:val="center"/>
      </w:pPr>
      <w:r>
        <w:t>Parametre na posúdenie výkonnosti</w:t>
      </w:r>
    </w:p>
    <w:p>
      <w:r>
        <w:t>1. Obstarávatelia zahrnú do koncesných zmlúv ustanovenia zamerané na zabezpečenie dlhodobej efektívnosti stavebných prác alebo služieb, a to aj podporou environmentálnej udržateľnosti a technologických inovácií počas celého trvania koncesie.</w:t>
      </w:r>
    </w:p>
    <w:p>
      <w:r>
        <w:t>Ustanovenia uvedené v prvom pododseku sú priamo spojené s plnením koncesie a môžu zahŕňať najmä požiadavky týkajúce sa príspevku k plneniu environmentálnych a klimatických cieľov podľa článku 50 alebo podpory technologického rozvoja a inovácií, ako aj neustáleho zlepšovania služieb.</w:t>
      </w:r>
    </w:p>
    <w:p>
      <w:r>
        <w:t>2. Obstarávatelia v relevantných prípadoch zahrnú do koncesných zmlúv ustanovenia zamerané na zaistenie bezpečnosti, odolnosti a kontinuity stavebných prác alebo služieb počas celého trvania koncesie.</w:t>
      </w:r>
    </w:p>
    <w:p>
      <w:r>
        <w:t>Tieto ustanovenia sú priamo spojené s plnením koncesie a môžu zahŕňať najmä požiadavky zabezpečujúce kontinuitu základných služieb v podmienkach narušenia, povinnosti riadiť riziká ovplyvňujúce bezpečnosť a prevádzkovú odolnosť a opatrenia na ochranu kritickej infraštruktúry, systémov alebo údajov alebo záruky kybernetickej bezpečnosti.</w:t>
      </w:r>
    </w:p>
    <w:p>
      <w:r>
        <w:t>3. Obstarávatelia zahrnú do koncesných zmlúv ustanovenia, ktorými sa od koncesionárov vyžaduje, aby uchovávali primerané záznamy počas piatich rokov od dátumu udelenia, a mechanizmy podávania správ, ktoré obstarávateľovi umožnia monitorovať plnenie a vykonávanie koncesie, overovať dodržiavanie zmluvných a právnych záväzkov a umožniť príslušným orgánom dohľadu, auditu a preskúmania overenie súladu.</w:t>
      </w:r>
    </w:p>
    <w:p>
      <w:r>
        <w:t>Tieto ustanovenia sa môžu týkať najmä úplnosti, presnosti a integrity záznamov, pravidelných informácií o výkonnosti a včasného oznamovania incidentov ovplyvňujúcich výkonnosť alebo súlad s právnymi, bezpečnostnými alebo environmentálnymi požiadavkami.</w:t>
      </w:r>
    </w:p>
    <w:p>
      <w:r>
        <w:t>4. Ak plnenie koncesie zahŕňa práva na majetok, infraštruktúru alebo verejný majetok, ktoré sú potrebné na fungovanie koncesie, obstarávatelia zabezpečia, aby zmluvné dojednania, dojednania týkajúce sa majetku alebo užívania, ktorými sa riadi prevod, vrátenie alebo prevzatie tohto majetku po uplynutí platnosti alebo ukončení koncesie, boli jasné, primerané, nediskriminačné a aby boli uvedené v podrobnostiach obstarávania. Tieto opatrenia nesmú vytvárať neodôvodnené prekážky hospodárskej súťaži ani neprimerane zvýhodňovať etablovaného koncesionára a musia zabezpečiť, aby nástupnícky prevádzkovateľ mohol pokračovať v plnení koncesie za účinných a nediskriminačných podmienok.</w:t>
      </w:r>
    </w:p>
    <w:p>
      <w:r>
        <w:t>V podrobnostiach obstarávania sa môžu špecifikovať najmä podmienky upravujúce používanie, prevod alebo vrátenie aktív po uplynutí ich platnosti alebo po ich vypovedaní vrátane akejkoľvek splatnej náhrady, ako aj podmienky týkajúce sa prevodu alebo prevzatia pracovníkov.</w:t>
      </w:r>
    </w:p>
    <w:p>
      <w:pPr>
        <w:pStyle w:val="Heading3"/>
        <w:jc w:val="center"/>
      </w:pPr>
      <w:r>
        <w:t>Článok 122</w:t>
      </w:r>
    </w:p>
    <w:p>
      <w:pPr>
        <w:pStyle w:val="Heading4"/>
        <w:jc w:val="center"/>
      </w:pPr>
      <w:r>
        <w:t>Trvanie koncesií</w:t>
      </w:r>
    </w:p>
    <w:p>
      <w:r>
        <w:t>1. Trvanie koncesií je obmedzené na obdobie potrebné na to, aby sa koncesionárovi vrátili investície vynaložené na prevádzkovanie stavebných prác alebo poskytovanie služieb spolu s návratnosťou investovaného kapitálu za bežných prevádzkových podmienok, pričom sa zohľadnia investície potrebné na dosiahnutie osobitných zmluvných cieľov.</w:t>
      </w:r>
    </w:p>
    <w:p>
      <w:r>
        <w:t>2. Trvanie koncesie sa určí so zreteľom na predmet koncesie a verejný záujem na zachovaní hospodárskej súťaže a prístupu na trh.</w:t>
      </w:r>
    </w:p>
    <w:p>
      <w:r>
        <w:t>3. Pri určovaní trvania koncesie obstarávateľ zohľadní:</w:t>
      </w:r>
    </w:p>
    <w:p>
      <w:r>
        <w:t>a) investície potrebné na plnenie koncesie, a to tak na začiatku, ako aj počas celého trvania koncesie, vrátane investícií do infraštruktúry, vybavenia a duševného vlastníctva;</w:t>
      </w:r>
    </w:p>
    <w:p>
      <w:r>
        <w:t>b) náklady na prevádzku a údržbu spojené s využívaním diel alebo služieb;</w:t>
      </w:r>
    </w:p>
    <w:p>
      <w:r>
        <w:t>c) rozdelenie rizík medzi zmluvné strany za predpokladu, že trvanie koncesie nevedie k odstráneniu prevádzkového rizika, ktoré znáša koncesionár;</w:t>
      </w:r>
    </w:p>
    <w:p>
      <w:r>
        <w:t>d) záväzné podmienky, ktorými sa riadi plnenie koncesie;</w:t>
      </w:r>
    </w:p>
    <w:p>
      <w:r>
        <w:t>e) očakávané príjmy a obdobie primerane potrebné na to, aby koncesionár získal späť investície a prevádzkové náklady spolu s primeranou návratnosťou;</w:t>
      </w:r>
    </w:p>
    <w:p>
      <w:r>
        <w:t>f) potreba zabezpečiť pravidelné vystavenie hospodárskej súťaži.</w:t>
      </w:r>
    </w:p>
    <w:p>
      <w:r>
        <w:t>V prípade potreby sa počas trvania koncesie zohľadní aj očakávaný technologický, regulačný a environmentálny životný cyklus relevantný pre predmet koncesie.</w:t>
      </w:r>
    </w:p>
    <w:p>
      <w:r>
        <w:t>Určenie dĺžky trvania koncesie nezaručuje, že koncesionár získa vopred stanovenú alebo minimálnu návratnosť investovaného kapitálu. Koncesia sa môže udeliť na kratšie obdobie, ako je obdobie potrebné na vymáhanie investícií, za predpokladu, že akékoľvek finančné dojednania spojené s týmto obdobím vrátane kompenzácie alebo záruk neodstraňujú ani podstatne neznižujú prevádzkové riziko, ktoré znáša koncesionár.</w:t>
      </w:r>
    </w:p>
    <w:p>
      <w:r>
        <w:t>4. Obstarávateľ môže určiť trvanie koncesie v podrobnostiach verejného obstarávania alebo môže stanoviť, že trvanie tvorí súčasť ponuky.</w:t>
      </w:r>
    </w:p>
    <w:p>
      <w:r>
        <w:t>5. Ak je trvanie súčasťou ponuky, v podrobnostiach verejného obstarávania sa uvedie:</w:t>
      </w:r>
    </w:p>
    <w:p>
      <w:r>
        <w:t>a) metódu na určenie trvania koncesie vrátane akéhokoľvek minimálneho alebo maximálneho trvania alebo prípustného rozsahu;</w:t>
      </w:r>
    </w:p>
    <w:p>
      <w:r>
        <w:t>b) pravidlá upravujúce hodnotenie a overovanie trvania navrhnutého uchádzačmi vrátane vzťahu medzi týmto trvaním a:</w:t>
      </w:r>
    </w:p>
    <w:p>
      <w:r>
        <w:t>i) investície, ktoré sa majú uskutočniť;</w:t>
      </w:r>
    </w:p>
    <w:p>
      <w:r>
        <w:t>ii) finančnú štruktúru koncesie;</w:t>
      </w:r>
    </w:p>
    <w:p>
      <w:r>
        <w:t>iii) rozdelenie rizík;</w:t>
      </w:r>
    </w:p>
    <w:p>
      <w:r>
        <w:t>iv) hospodársku rovnováhu koncesie;</w:t>
      </w:r>
    </w:p>
    <w:p>
      <w:r>
        <w:t>c) rozsah, v akom navrhované trvanie predstavuje kritérium na vyhodnotenie ponúk.</w:t>
      </w:r>
    </w:p>
    <w:p>
      <w:r>
        <w:t>6. Obstarávateľ môže do podrobností verejného obstarávania zahrnúť ustanovenia umožňujúce prípadnú úpravu, predĺženie, skrátenie alebo podmienené určenie trvania koncesie.</w:t>
      </w:r>
    </w:p>
    <w:p>
      <w:r>
        <w:t>Každý mechanizmus, ktorý umožňuje úpravu, predĺženie, skrátenie alebo podmienené určenie trvania koncesie, musí spĺňať tieto požiadavky:</w:t>
      </w:r>
    </w:p>
    <w:p>
      <w:r>
        <w:t>a) sú jasne, presne a jednoznačne uvedené v podrobnostiach obstarávania;</w:t>
      </w:r>
    </w:p>
    <w:p>
      <w:r>
        <w:t>b) špecifikovať podmienky, za ktorých sa takéto úpravy môžu uskutočniť, uplatniteľnú metodiku a maximálne trvanie koncesie so zreteľom na faktory uvedené v odseku 3.</w:t>
      </w:r>
    </w:p>
    <w:p>
      <w:r>
        <w:t>Akákoľvek úprava trvania koncesie, ktorá nie je stanovená v podrobnostiach obstarávania alebo sa nevykonáva v súlade s metodikou a podmienkami stanovenými podľa druhého pododseku písm. b), predstavuje úpravu koncesie a podlieha článku 125.</w:t>
      </w:r>
    </w:p>
    <w:p>
      <w:pPr>
        <w:pStyle w:val="Heading3"/>
        <w:jc w:val="center"/>
      </w:pPr>
      <w:r>
        <w:t>Článok 123</w:t>
      </w:r>
    </w:p>
    <w:p>
      <w:pPr>
        <w:pStyle w:val="Heading4"/>
        <w:jc w:val="center"/>
      </w:pPr>
      <w:r>
        <w:t>Postupy zadávania koncesie</w:t>
      </w:r>
    </w:p>
    <w:p>
      <w:r>
        <w:t>1. Obstarávatelia udeľujú koncesie v súlade s postupmi stanovenými v tomto nariadení.</w:t>
      </w:r>
    </w:p>
    <w:p>
      <w:r>
        <w:t>2. Verejné zhrnutie súťaže na udelenie koncesie podľa článku 34 okrem toho obsahuje zhrnutie týchto informácií:</w:t>
      </w:r>
    </w:p>
    <w:p>
      <w:r>
        <w:t>a) hlavné zložky odhadovanej hodnoty koncesie vrátane odhadovaných investičných nákladov a prevádzkových príjmov;</w:t>
      </w:r>
    </w:p>
    <w:p>
      <w:r>
        <w:t>b) rozdelenie kľúčových rizík vrátane prípadných rizík súvisiacich s dopytom, konštrukciou a regulačnými rizikami.</w:t>
      </w:r>
    </w:p>
    <w:p>
      <w:pPr>
        <w:pStyle w:val="Heading2"/>
        <w:jc w:val="center"/>
      </w:pPr>
      <w:r>
        <w:t>Hlava III</w:t>
      </w:r>
    </w:p>
    <w:p>
      <w:pPr>
        <w:pStyle w:val="Heading2"/>
        <w:jc w:val="center"/>
      </w:pPr>
      <w:r>
        <w:t>Správa koncesií</w:t>
      </w:r>
    </w:p>
    <w:p>
      <w:pPr>
        <w:pStyle w:val="Heading3"/>
        <w:jc w:val="center"/>
      </w:pPr>
      <w:r>
        <w:t>Článok 124</w:t>
      </w:r>
    </w:p>
    <w:p>
      <w:pPr>
        <w:pStyle w:val="Heading4"/>
        <w:jc w:val="center"/>
      </w:pPr>
      <w:r>
        <w:t>Mechanizmy úpravy</w:t>
      </w:r>
    </w:p>
    <w:p>
      <w:r>
        <w:t>1. Obstarávatelia môžu do podrobností verejného obstarávania zahrnúť doložky, ktorými sa stanovujú mechanizmy na úpravu podmienok koncesie počas jej trvania, za predpokladu, že tieto mechanizmy:</w:t>
      </w:r>
    </w:p>
    <w:p>
      <w:r>
        <w:t>a) sú objektívne odôvodnené vzhľadom na povahu, trvanie a rizikový profil koncesie;</w:t>
      </w:r>
    </w:p>
    <w:p>
      <w:r>
        <w:t>b) zachovať hospodársku rovnováhu koncesie;</w:t>
      </w:r>
    </w:p>
    <w:p>
      <w:r>
        <w:t>C)zachovať prenos prevádzkového rizika na koncesionára;</w:t>
      </w:r>
    </w:p>
    <w:p>
      <w:r>
        <w:t>d) ustanovenia sú jasné, presné a jednoznačné.</w:t>
      </w:r>
    </w:p>
    <w:p>
      <w:r>
        <w:t>2. Mechanizmy úpravy uvedené v odseku 1 sa môžu týkať najmä:</w:t>
      </w:r>
    </w:p>
    <w:p>
      <w:r>
        <w:t>a) vopred vymedzené pravidlá úpravy príjmov vrátane zmien súvisiacich s dopytom alebo úrovňami využívania;</w:t>
      </w:r>
    </w:p>
    <w:p>
      <w:r>
        <w:t>b) mechanizmy indexácie vrátane tých, ktoré sú spojené s objektívnymi hospodárskymi ukazovateľmi, ako sú cenové indexy, miery inflácie alebo volatilita vstupných nákladov, napríklad v prípade kľúčových materiálov;</w:t>
      </w:r>
    </w:p>
    <w:p>
      <w:r>
        <w:t>c) úpravy platieb na základe výkonnosti spojené s dosiahnutím kvalitatívnych alebo výkonnostných cieľov týkajúcich sa dodania stavebných prác alebo poskytnutia služieb;</w:t>
      </w:r>
    </w:p>
    <w:p>
      <w:r>
        <w:t>3. Úpravy zmluvy na základe takýchto doložiek sa nepovažujú za úpravy podľa článku 125.</w:t>
      </w:r>
    </w:p>
    <w:p>
      <w:pPr>
        <w:pStyle w:val="Heading3"/>
        <w:jc w:val="center"/>
      </w:pPr>
      <w:r>
        <w:t>Článok 125</w:t>
      </w:r>
    </w:p>
    <w:p>
      <w:pPr>
        <w:pStyle w:val="Heading4"/>
        <w:jc w:val="center"/>
      </w:pPr>
      <w:r>
        <w:t>Úpravy koncesií počas ich platnosti</w:t>
      </w:r>
    </w:p>
    <w:p>
      <w:r>
        <w:t>1. Obstarávatelia môžu upraviť koncesie počas ich platnosti bez nového postupu obstarávania za predpokladu, že úprava nie je podstatná v zmysle odseku 3 alebo patrí do jedného z prípadov uvedených v odseku 4. Všetky takéto úpravy reagujú na objektívne potreby, ktoré vzniknú počas plnenia koncesie, obmedzujú sa na to, čo je nevyhnutné a primerané na zabezpečenie jej plnenia a kontinuity, a nemenia počiatočnú hospodársku rovnováhu koncesie v prospech koncesionára.</w:t>
      </w:r>
    </w:p>
    <w:p>
      <w:r>
        <w:t>2. Úprava, ktorej hodnota nepresahuje 15 % hodnoty pôvodnej koncesie, sa považuje za nepodstatnú a môže sa vykonať bez nového postupu obstarávania za predpokladu, že úpravou sa nemení pôvodná hospodárska rovnováha koncesie.</w:t>
      </w:r>
    </w:p>
    <w:p>
      <w:r>
        <w:t>Ak sa vykoná niekoľko po sebe nasledujúcich úprav, prahové hodnoty sa posúdia na základe čistej kumulatívnej hodnoty po sebe nasledujúcich úprav.</w:t>
      </w:r>
    </w:p>
    <w:p>
      <w:r>
        <w:t>3. Úprava sa považuje za podstatnú, ak sa ňou zavádzajú podmienky, ktoré by v prípade, že by boli súčasťou pôvodného postupu obstarávania, zmenili podmienky hospodárskej súťaže, alebo ak sa ňou menia základné podmienky zákazky, ako je rozsah koncesie, zmluvné záväzky stanovené v súlade s článkom 119, počiatočná hospodárska rovnováha v prospech koncesionára alebo totožnosť pôvodného koncesionára v iných prípadoch, než sú prípady uvedené v odseku 4 písm. c).</w:t>
      </w:r>
    </w:p>
    <w:p>
      <w:r>
        <w:t>4. Za predpokladu, že sa tým nezmení počiatočná ekonomická rovnováha koncesie v prospech dodávateľa, sú podstatné úpravy prípustné v zmysle odseku 1 v týchto prípadoch:</w:t>
      </w:r>
    </w:p>
    <w:p>
      <w:r>
        <w:t>a) ak sú počas plnenia koncesie potrebné dodatočné stavebné práce, služby alebo tovar za predpokladu, že zmena koncesionára nie je technicky alebo ekonomicky uskutočniteľná, a to aj z dôvodu vzájomnej závislosti existujúcich stavebných prác alebo služieb, alebo preto, že by viedla k podstatnému zvýšeniu nákladov;</w:t>
      </w:r>
    </w:p>
    <w:p>
      <w:r>
        <w:t>b) ak je úprava potrebná z dôvodu okolností, ktoré obozretný obstarávateľ nemohol odôvodnene predvídať v čase začatia postupu udeľovania koncesií a ktoré významne ovplyvňujú plnenie alebo uskutočniteľnosť koncesie, vrátane:</w:t>
      </w:r>
    </w:p>
    <w:p>
      <w:r>
        <w:t>i) podstatné zmeny v uplatniteľnom regulačnom alebo právnom rámci;</w:t>
      </w:r>
    </w:p>
    <w:p>
      <w:r>
        <w:t>ii) významný technologický vývoj;</w:t>
      </w:r>
    </w:p>
    <w:p>
      <w:r>
        <w:t>iii) narušenia, núdzové situácie alebo krízy s významným hospodárskym, spoločenským alebo operačným vplyvom;</w:t>
      </w:r>
    </w:p>
    <w:p>
      <w:r>
        <w:t>c) ak je pôvodný koncesionár nahradený iným subjektom z dôvodu:</w:t>
      </w:r>
    </w:p>
    <w:p>
      <w:r>
        <w:t>a) fúziou, prevzatím, akvizíciou, platobnou neschopnosťou alebo inou reštrukturalizáciou podniku, ak iný hospodársky subjekt úplne alebo čiastočne vstúpi do práv a povinností pôvodného koncesionára, za predpokladu, že nový subjekt spĺňa pôvodné kvalitatívne kritériá výberu; že v koncesii sa nevykonali žiadne iné podstatné úpravy a že účelom nahradenia nie je obísť uplatňovanie tohto nariadenia;</w:t>
      </w:r>
    </w:p>
    <w:p>
      <w:r>
        <w:t>b) obstarávateľ, ktorý preberá povinnosti hlavného koncesionára voči jeho subdodávateľom, ak je to možné stanovené vo vnútroštátnom práve.</w:t>
      </w:r>
    </w:p>
    <w:p>
      <w:r>
        <w:t>5. Pred úpravou koncesie obstarávateľ na základe objektívnych a overiteľných prvkov preukáže, že podmienky stanovené v odseku 1 sú splnené. Obstarávatelia vedú podrobné písomné záznamy o základných prvkoch úpravy vrátane jej odôvodnenia, nevyhnutnosti alebo vhodnosti a jej vplyve na hospodársku rovnováhu zákazky, najmä na rozdelenie hospodárskych výhod a prevádzkových rizík na základe koncesie, s cieľom odôvodniť rozhodnutia o úprave koncesie a umožniť príslušným orgánom dohľadu, auditu a preskúmania overenie súladu s týmto článkom.</w:t>
      </w:r>
    </w:p>
    <w:p>
      <w:r>
        <w:t>6. Pred každou úpravou koncesie, ktorá presahuje 50 % hodnoty pôvodnej koncesie, obstarávatelia uverejnia verejné zhrnutie úpravy na tento účel. Toto verejné zhrnutie obsahuje odôvodnenie zmeny bez nového obstarávania a informácie stanovené v článku 110. Cieľom následných úprav nesmie byť obchádzanie tohto nariadenia.</w:t>
      </w:r>
    </w:p>
    <w:p>
      <w:r>
        <w:t>Odchylne od prvého pododseku tohto odseku sa povinnosť predchádzajúceho uverejnenia neuplatňuje, ak naliehavosť vyplývajúca z núdzovej situácie určenej v súlade s článkom 48 neumožňuje predchádzajúce uverejnenie verejného zhrnutia úpravy. V takom prípade obstarávatelia uverejnia verejné zhrnutie úpravy v súlade s odsekom 7 tohto článku.</w:t>
      </w:r>
    </w:p>
    <w:p>
      <w:r>
        <w:t>7. Ak obstarávatelia podstatne upravia koncesiu za podmienok stanovených v odseku 5 a táto úprava nepresiahne 50 % hodnoty pôvodnej koncesie, uverejnia do 20 dní odo dňa vykonania úpravy verejné zhrnutie úpravy obsahujúce informácie stanovené v článku 110. Ak sa vykoná niekoľko po sebe nasledujúcich úprav, ktoré nepresahujú 50 % hodnoty pôvodnej koncesie, táto povinnosť sa vzťahuje na každú úpravu. Cieľom následných úprav nesmie byť obchádzanie tohto nariadenia.</w:t>
      </w:r>
    </w:p>
    <w:p>
      <w:r>
        <w:t>8. Ak nesprávne plnenie koncesie alebo neposkytnutie stavebných prác alebo služieb koncesionárom ohrozuje kontinuitu základnej služby poskytovanej na základe koncesie a vymedzenej v dokumente ku koncesii, obstarávatelia môžu prijať alebo vyžadovať nevyhnutne potrebné dočasné opatrenia na zabezpečenie nepretržitého poskytovania tejto služby. Obstarávatelia zabezpečia, aby sa tieto opatrenia obmedzili na to, čo je objektívne nevyhnutné na zachovanie kontinuity základnej služby, boli primerané závažnosti narušenia a neviedli k zmene hospodárskej rovnováhy koncesie ani k prenosu prevádzkového rizika z koncesionára na obstarávateľov, s výnimkou rozsahu nevyhnutne potrebného na zabezpečenie dočasného pokračovania základnej služby.</w:t>
      </w:r>
    </w:p>
    <w:p>
      <w:r>
        <w:t>9. Na účely výpočtu hodnoty uvedenej v odsekoch 2, 6 a 7 je aktualizovanou hodnotou referenčná hodnota, ak zmluva obsahuje doložku o indexácii. Ak zmluva neobsahuje doložku o indexácii, aktualizovaná hodnota sa vypočíta s prihliadnutím na priemernú infláciu v členskom štáte obstarávateľa.</w:t>
      </w:r>
    </w:p>
    <w:p>
      <w:r>
        <w:t>10. Úpravy koncesnej zmluvy sa nesmú použiť na nápravu nedostatkov v plnení koncesionára, ktoré nie sú odôvodnené okolnosťami mimo jeho kontroly, s výnimkou podmienok stanovených v odseku 8.</w:t>
      </w:r>
    </w:p>
    <w:p>
      <w:pPr>
        <w:pStyle w:val="Heading3"/>
        <w:jc w:val="center"/>
      </w:pPr>
      <w:r>
        <w:t>Článok 126</w:t>
      </w:r>
    </w:p>
    <w:p>
      <w:pPr>
        <w:pStyle w:val="Heading4"/>
        <w:jc w:val="center"/>
      </w:pPr>
      <w:r>
        <w:t>Ukončenie koncesií</w:t>
      </w:r>
    </w:p>
    <w:p>
      <w:r>
        <w:t>1. Popri článku 107 môžu obstarávatelia vypovedať koncesnú zmluvu pred uplynutím jej platnosti, ak sa tak stanovuje v práve Únie alebo vo vnútroštátnom práve a ak je takéto vypovedanie opodstatnené závažnými dôvodmi verejného záujmu.</w:t>
      </w:r>
    </w:p>
    <w:p>
      <w:r>
        <w:t>2. Akékoľvek ukončenie podľa odseku 1:</w:t>
      </w:r>
    </w:p>
    <w:p>
      <w:r>
        <w:t>a) dodržiavajú zásady proporcionality a rovnakého zaobchádzania;</w:t>
      </w:r>
    </w:p>
    <w:p>
      <w:r>
        <w:t>b) musia byť riadne odôvodnené a založené na objektívnych a overiteľných dôvodoch;</w:t>
      </w:r>
    </w:p>
    <w:p>
      <w:r>
        <w:t>c) sa vykonávajú len vtedy, ak sledovaný cieľ nemožno primerane dosiahnuť menej reštriktívnymi opatreniami vrátane úpravy koncesie v súlade s týmto nariadením.</w:t>
      </w:r>
    </w:p>
    <w:p>
      <w:r>
        <w:t>3. V prípade vypovedania podľa tohto článku má koncesionár nárok na primeranú náhradu.</w:t>
      </w:r>
    </w:p>
    <w:p>
      <w:r>
        <w:t>4. Odôvodnenie ukončenia a kompenzácie sa riadne zdokumentuje a sprístupní na overenie príslušným orgánom dohľadu, auditu a preskúmania najmenej na päť rokov.</w:t>
      </w:r>
    </w:p>
    <w:p>
      <w:pPr>
        <w:pStyle w:val="Heading2"/>
        <w:jc w:val="center"/>
      </w:pPr>
      <w:r>
        <w:t>Časť V</w:t>
      </w:r>
    </w:p>
    <w:p>
      <w:pPr>
        <w:pStyle w:val="Heading2"/>
        <w:jc w:val="center"/>
      </w:pPr>
      <w:r>
        <w:t>Digitálny ekosystém</w:t>
      </w:r>
    </w:p>
    <w:p>
      <w:pPr>
        <w:pStyle w:val="Heading2"/>
        <w:jc w:val="center"/>
      </w:pPr>
      <w:r>
        <w:t>Hlava I</w:t>
      </w:r>
    </w:p>
    <w:p>
      <w:pPr>
        <w:pStyle w:val="Heading2"/>
        <w:jc w:val="center"/>
      </w:pPr>
      <w:r>
        <w:t>Digitálne nástroje</w:t>
      </w:r>
    </w:p>
    <w:p>
      <w:pPr>
        <w:pStyle w:val="Heading2"/>
        <w:jc w:val="center"/>
      </w:pPr>
      <w:r>
        <w:t>Kapitola 1</w:t>
      </w:r>
    </w:p>
    <w:p>
      <w:pPr>
        <w:pStyle w:val="Heading2"/>
        <w:jc w:val="center"/>
      </w:pPr>
      <w:r>
        <w:t>Elektronická komunikácia a interoperabilita</w:t>
      </w:r>
    </w:p>
    <w:p>
      <w:pPr>
        <w:pStyle w:val="Heading3"/>
        <w:jc w:val="center"/>
      </w:pPr>
      <w:r>
        <w:t>Článok 127</w:t>
      </w:r>
    </w:p>
    <w:p>
      <w:pPr>
        <w:pStyle w:val="Heading4"/>
        <w:jc w:val="center"/>
      </w:pPr>
      <w:r>
        <w:t>Elektronické komunikácie</w:t>
      </w:r>
    </w:p>
    <w:p>
      <w:r>
        <w:t>1. Obstarávatelia používajú nástroje elektronickej komunikácie pri každej komunikácii s hospodárskym subjektom v rámci postupu obstarávania. Používajú len všeobecne dostupné a nediskriminačné nástroje a ich komunikácia musí byť v súlade s harmonizovanou normou pre podrobnosti obstarávania podľa článku 129 ods. 1 písm. b).</w:t>
      </w:r>
    </w:p>
    <w:p>
      <w:r>
        <w:t>2. Bez ohľadu na odsek 1 môžu obstarávatelia použiť iné prostriedky komunikácie, pokiaľ elektronická komunikácia nie je možná z dôvodu osobitných technických požiadaviek postupu obstarávania alebo pokiaľ je to potrebné z jedného z týchto dôvodov:</w:t>
      </w:r>
    </w:p>
    <w:p>
      <w:r>
        <w:t>a) narušenie bezpečnosti elektronickej komunikácie; alebo</w:t>
      </w:r>
    </w:p>
    <w:p>
      <w:r>
        <w:t>b) ochrana osobitne citlivej povahy údajov, ktorá si vyžaduje takú vysokú úroveň ochrany, že ju nemožno riadne zabezpečiť pomocou nástrojov elektronickej komunikácie.</w:t>
      </w:r>
    </w:p>
    <w:p>
      <w:r>
        <w:t>3. Obstarávatelia pri každej komunikácii, výmene a uchovávaní údajov zabezpečia, aby sa zachovala integrita údajov a dôvernosť vyjadrení záujmu, ponúk a návrhov inovačných riešení a aby si mohli vymieňať údaje s hospodárskym subjektom prostredníctvom siete interoperability podľa článku</w:t>
      </w:r>
    </w:p>
    <w:p>
      <w:r>
        <w:t>128. Obsah vyjadrení záujmu, ponúk a návrhov inovačných riešení preskúmajú až po uplynutí lehoty stanovenej na ich predloženie a zabezpečia, aby bol každý neoprávnený prístup zistiteľný.</w:t>
      </w:r>
    </w:p>
    <w:p>
      <w:r>
        <w:t>4. Bez ohľadu na odsek 1 tohto článku a článok 65 môžu obstarávatelia požadovať používanie elektronických komunikačných nástrojov, ktoré nie sú všeobecne dostupné a nediskriminačné, len ak je to potrebné na vykonanie postupu obstarávania a ak poskytujú bezplatný a rovnaký prístup k takýmto nástrojom všetkým hospodárskym subjektom, ktoré majú v úmysle zúčastniť sa na postupe obstarávania.</w:t>
      </w:r>
    </w:p>
    <w:p>
      <w:r>
        <w:t>5. V súlade s článkami 27 a 37 nariadenia (EÚ) č. 910/2014[69] môžu obstarávatelia vyžadovať používanie zdokonalených elektronických podpisov alebo pečatí, zdokonalených elektronických podpisov alebo pečatí založených na kvalifikovanom certifikáte alebo kvalifikovaných elektronických podpisoch alebo pečatiach na podpis elektronickej komunikácie hospodárskym subjektom.</w:t>
      </w:r>
    </w:p>
    <w:p>
      <w:r>
        <w:rPr>
          <w:sz w:val="16"/>
        </w:rPr>
        <w:t>69 Nariadenie Európskeho parlamentu a Rady (EÚ) č. 910/2014 z 23. júla 2014 o elektronickej identifikácii a dôveryhodných službách pre elektronické transakcie na vnútornom trhu a o zrušení smernice 1999/93/ES (Ú. v. EÚ L 257, 28.8.2014, s. 73, ELI: http://data.europa.eu/eli/reg/2014/910/oj).</w:t>
      </w:r>
    </w:p>
    <w:p>
      <w:pPr>
        <w:pStyle w:val="Heading3"/>
        <w:jc w:val="center"/>
      </w:pPr>
      <w:r>
        <w:t>Článok 128</w:t>
      </w:r>
    </w:p>
    <w:p>
      <w:pPr>
        <w:pStyle w:val="Heading4"/>
        <w:jc w:val="center"/>
      </w:pPr>
      <w:r>
        <w:t>Sieť interoperability</w:t>
      </w:r>
    </w:p>
    <w:p>
      <w:r>
        <w:t>1. Komisia zriadi alebo určí bezpečnú sieť na výmenu údajov s cieľom umožniť obstarávateľom a hospodárskym subjektom komunikovať elektronickými prostriedkami v postupoch obstarávania s využitím rôznych poskytovateľov služieb elektronického obstarávania (ďalej len „sieť interoperability“).</w:t>
      </w:r>
    </w:p>
    <w:p>
      <w:r>
        <w:t>2. Komisia prijme delegované akty v súlade s článkom 141 na doplnenie tohto nariadenia s cieľom zriadiť alebo určiť takúto sieť interoperability.</w:t>
      </w:r>
    </w:p>
    <w:p>
      <w:r>
        <w:t>Komisia zabezpečí, aby sieť interoperability spĺňala tieto požiadavky:</w:t>
      </w:r>
    </w:p>
    <w:p>
      <w:r>
        <w:t>a) spĺňa harmonizované normy uvedené v článku 129 a spoločné špecifikácie uvedené v článku 130;</w:t>
      </w:r>
    </w:p>
    <w:p>
      <w:r>
        <w:t>b) zohľadňuje existujúce nástroje a normy Únie;</w:t>
      </w:r>
    </w:p>
    <w:p>
      <w:r>
        <w:t>c) spĺňa požiadavku na ochranu osobných údajov v súlade s nariadeniami (EÚ) 2016/679[70] a (EÚ) 2018/1725 a zabezpečuje špecificky navrhnutú a štandardnú ochranu údajov, ako sa stanovuje v článku 25 nariadenia;</w:t>
      </w:r>
    </w:p>
    <w:p>
      <w:r>
        <w:t>(EÚ) 2016/679 a článku 27 nariadenia (EÚ) 2018/1725;</w:t>
      </w:r>
    </w:p>
    <w:p>
      <w:r>
        <w:t>d) umožňuje zavedenie bezpečnej, praktickej, ľahko vykonateľnej, flexibilnej, konfigurovateľnej a nákladovo efektívnej výmeny údajov vo všetkých postupoch verejného obstarávania;</w:t>
      </w:r>
    </w:p>
    <w:p>
      <w:r>
        <w:t>e) zohľadňuje osobitné potreby MSP;</w:t>
      </w:r>
    </w:p>
    <w:p>
      <w:r>
        <w:t>f) ontológiu elektronického obstarávania považuje za sémantický rámec, ktorým sa štandardizujú koncepcie verejného obstarávania Únie; podielu a</w:t>
      </w:r>
    </w:p>
    <w:p>
      <w:r>
        <w:t>g) posudzuje verejné zhrnutia a ich technickú realizáciu v súlade s článkom 110.</w:t>
      </w:r>
    </w:p>
    <w:p>
      <w:r>
        <w:t>3. Komisia je splnomocnená prijímať vykonávacie akty, ktorými sa stanovujú podrobné opatrenia týkajúce sa implementácie a prevádzky siete interoperability vrátane prípadných pravidiel opätovného použitia existujúcich sietí na účely tohto článku. V uvedených vykonávacích aktoch sa stanovia aspoň:</w:t>
      </w:r>
    </w:p>
    <w:p>
      <w:r>
        <w:t>a) technické informácie o pripojení k sieti interoperability;</w:t>
      </w:r>
    </w:p>
    <w:p>
      <w:r>
        <w:t>b) formát a štruktúru údajov vrátane konfigurácie a syntaxe;</w:t>
      </w:r>
    </w:p>
    <w:p>
      <w:r>
        <w:t>c) sémantické úložisko;</w:t>
      </w:r>
    </w:p>
    <w:p>
      <w:r>
        <w:t>d) požiadavky na interoperabilitu;</w:t>
      </w:r>
    </w:p>
    <w:p>
      <w:r>
        <w:t>e) škálovateľnosť a výkonnosť;</w:t>
      </w:r>
    </w:p>
    <w:p>
      <w:r>
        <w:t>f) požiadavky na bezpečnosť a zodpovednosť;</w:t>
      </w:r>
    </w:p>
    <w:p>
      <w:r>
        <w:t>g) vlastníctvo údajov a riadenie prístupu k nim;</w:t>
      </w:r>
    </w:p>
    <w:p>
      <w:r>
        <w:t>h) kvalifikácia poskytovateľov služieb elektronického obstarávania;</w:t>
      </w:r>
    </w:p>
    <w:p>
      <w:r>
        <w:t>i) organizačné a technické opatrenia na spracúvanie osobných údajov;</w:t>
      </w:r>
    </w:p>
    <w:p>
      <w:r>
        <w:t>j) opatrenia na riešenie nevhodného alebo podvodného používania siete interoperability;</w:t>
      </w:r>
    </w:p>
    <w:p>
      <w:r>
        <w:t>k) dostupnosť siete a údajov interoperability; podielu a</w:t>
      </w:r>
    </w:p>
    <w:p>
      <w:r>
        <w:t>l) prepojenia uskutočnené prostredníctvom siete interoperability vrátane prepojenia s digitálnym podnikovým dokladom a s NPPDS.</w:t>
      </w:r>
    </w:p>
    <w:p>
      <w:r>
        <w:t>Vykonávacie akty uvedené v prvom pododseku tohto odseku sa prijmú v súlade s konzultačným postupom uvedeným v článku 143 ods. 2.</w:t>
      </w:r>
    </w:p>
    <w:p>
      <w:r>
        <w:t>4. Komisia môže od prevádzkovateľa siete interoperability požadovať, aby poskytovateľom služieb elektronického obstarávania zamietol alebo zrušil prístup do siete, ak títo poskytovatelia nespĺňajú alebo prestali spĺňať požiadavky stanovené v článku 131. Komisia vhodným spôsobom vopred oznámi poskytovateľom služieb elektronického obstarávania zamietnutie alebo stratu prístupu do siete. Sieť interoperability poskytuje Komisii informácie potrebné na posúdenie súladu s požiadavkami stanovenými v článku 131.</w:t>
      </w:r>
    </w:p>
    <w:p>
      <w:r>
        <w:rPr>
          <w:sz w:val="16"/>
        </w:rPr>
        <w:t>70 Nariadenie Európskeho parlamentu a Rady (EÚ) 2016/679 z 27. apríla 2016 o ochrane fyzických osôb pri spracúvaní osobných údajov a o voľnom pohybe takýchto údajov, ktorým sa zrušuje smernica 95/46/ES (všeobecné nariadenie o ochrane údajov) (Ú. v. EÚ L 119, 4.5.2016, s. 1, ELI: http://data.europa.eu/eli/reg/2016/679/oj).</w:t>
      </w:r>
    </w:p>
    <w:p>
      <w:pPr>
        <w:pStyle w:val="Heading3"/>
        <w:jc w:val="center"/>
      </w:pPr>
      <w:r>
        <w:t>Článok 129</w:t>
      </w:r>
    </w:p>
    <w:p>
      <w:pPr>
        <w:pStyle w:val="Heading4"/>
        <w:jc w:val="center"/>
      </w:pPr>
      <w:r>
        <w:t>Harmonizované normy pre verejné obstarávanie</w:t>
      </w:r>
    </w:p>
    <w:p>
      <w:r>
        <w:t>1. Komisia môže prijať normalizačnú žiadosť v súlade s nariadením.</w:t>
      </w:r>
    </w:p>
    <w:p>
      <w:r>
        <w:t>(EÚ) č. 1025/2012 na vypracovanie harmonizovaných noriem pre sémantický dátový model a interoperabilitu základných prvkov:</w:t>
      </w:r>
    </w:p>
    <w:p>
      <w:r>
        <w:t>a) postupy obstarávania v súlade s týmto nariadením (ďalej len „harmonizovaná norma pre postupy obstarávania“); podielu a</w:t>
      </w:r>
    </w:p>
    <w:p>
      <w:r>
        <w:t>b) aspoň hlavné prvky podrobností verejného obstarávania (ďalej len „harmonizovaná norma pre podrobnosti verejného obstarávania“).</w:t>
      </w:r>
    </w:p>
    <w:p>
      <w:r>
        <w:t>2. Normy prijaté v súlade s odsekom 1 musia spĺňať aspoň tieto kritériá:</w:t>
      </w:r>
    </w:p>
    <w:p>
      <w:r>
        <w:t>a) zohľadňujú existujúce nástroje a normy Únie;</w:t>
      </w:r>
    </w:p>
    <w:p>
      <w:r>
        <w:t>b) spĺňajú požiadavku na ochranu osobných údajov v súlade s nariadeniami (EÚ) 2016/679 a (EÚ) 2018/1725, najmä pri dodržiavaní zásad špecificky navrhnutej a štandardnej ochrany údajov, ako sa stanovuje v článku 25 nariadenia (EÚ) 2016/679 a článku 27 nariadenia (EÚ) 2018/1725;</w:t>
      </w:r>
    </w:p>
    <w:p>
      <w:r>
        <w:t>c) umožňujú vytvorenie bezpečnej, ľahko vykonateľnej, flexibilnej, konfigurovateľnej a nákladovo efektívnej výmeny údajov vo všetkých postupoch verejného obstarávania;</w:t>
      </w:r>
    </w:p>
    <w:p>
      <w:r>
        <w:t>d) zohľadňujú osobitné potreby MSP; podielu a</w:t>
      </w:r>
    </w:p>
    <w:p>
      <w:r>
        <w:t>e) ontológiu elektronického obstarávania považujú za sémantický rámec, ktorým sa štandardizuje koncepcia verejného obstarávania Únie.</w:t>
      </w:r>
    </w:p>
    <w:p>
      <w:r>
        <w:t>3. Ak harmonizovaná norma pre postupy obstarávania alebo harmonizovaná norma pre podrobnosti obstarávania, ktoré boli dodané na základe žiadosti uvedenej v odseku 1, spĺňa požiadavky, ktoré sú v nej stanovené, Komisia uverejní odkaz na uvedenú harmonizovanú normu v Úradnom vestníku Európskej únie.</w:t>
      </w:r>
    </w:p>
    <w:p>
      <w:pPr>
        <w:pStyle w:val="Heading3"/>
        <w:jc w:val="center"/>
      </w:pPr>
      <w:r>
        <w:t>Článok 130</w:t>
      </w:r>
    </w:p>
    <w:p>
      <w:pPr>
        <w:pStyle w:val="Heading4"/>
        <w:jc w:val="center"/>
      </w:pPr>
      <w:r>
        <w:t>Spoločné špecifikácie</w:t>
      </w:r>
    </w:p>
    <w:p>
      <w:r>
        <w:t>1. Komisia môže prijať vykonávacie akty, ktorými sa stanovia spoločné špecifikácie uvedené v článku 88 ods. 4 písm. a), ktoré sa vzťahujú na základné požiadavky na sémantický dátový model základných prvkov postupov obstarávania uvedených v článku 129 ods. 1 písm. a).</w:t>
      </w:r>
    </w:p>
    <w:p>
      <w:r>
        <w:t>Uvedené vykonávacie akty sa môžu prijať, ak Komisia podľa článku 10 ods. 1 nariadenia (EÚ) č. 1025/2012 požiadala jednu alebo viaceré európske normalizačné organizácie o vypracovanie alebo revíziu európskych noriem pre tieto požiadavky a:</w:t>
      </w:r>
    </w:p>
    <w:p>
      <w:r>
        <w:t>a) žiadosť neprijala žiadna z európskych normalizačných organizácií, ktorým bola adresovaná; alebo</w:t>
      </w:r>
    </w:p>
    <w:p>
      <w:r>
        <w:t>b) žiadosť prijala aspoň jedna z európskych normalizačných organizácií, ktorým bola adresovaná, ale v európskych normách sa požadovalo:</w:t>
      </w:r>
    </w:p>
    <w:p>
      <w:r>
        <w:t>i) neboli doručené v lehote stanovenej v žiadosti;</w:t>
      </w:r>
    </w:p>
    <w:p>
      <w:r>
        <w:t>ii) nevyhovie žiadosti; alebo</w:t>
      </w:r>
    </w:p>
    <w:p>
      <w:r>
        <w:t>iii) nespĺňajú požiadavky, na ktoré sa majú vzťahovať.</w:t>
      </w:r>
    </w:p>
    <w:p>
      <w:r>
        <w:t>2. Ak sa odkazy na harmonizovanú normu uverejnia v Úradnom vestníku Európskej únie, Komisia zruší vykonávacie akty prijaté podľa odseku 1 alebo ich príslušné časti v rozsahu, v akom sa vzťahujú na rovnaké požiadavky.</w:t>
      </w:r>
    </w:p>
    <w:p>
      <w:r>
        <w:t>3. Ak sa členský štát alebo Európsky parlament domnieva, že spoločná špecifikácia alebo jej časti úplne nespĺňajú požiadavky, na ktoré sa vzťahuje, informuje o tom Komisiu, ktorej poskytne podrobné vysvetlenie. Komisia toto podrobné vysvetlenie posúdi a vo vhodných prípadoch môže zmeniť vykonávací akt, ktorým sa stanovuje dotknutá spoločná špecifikácia.</w:t>
      </w:r>
    </w:p>
    <w:p>
      <w:pPr>
        <w:pStyle w:val="Heading2"/>
        <w:jc w:val="center"/>
      </w:pPr>
      <w:r>
        <w:t>Kapitola 2</w:t>
      </w:r>
    </w:p>
    <w:p>
      <w:pPr>
        <w:pStyle w:val="Heading2"/>
        <w:jc w:val="center"/>
      </w:pPr>
      <w:r>
        <w:t>Poskytovatelia služieb elektronického verejného obstarávania</w:t>
      </w:r>
    </w:p>
    <w:p>
      <w:pPr>
        <w:pStyle w:val="Heading3"/>
        <w:jc w:val="center"/>
      </w:pPr>
      <w:r>
        <w:t>Článok 131</w:t>
      </w:r>
    </w:p>
    <w:p>
      <w:pPr>
        <w:pStyle w:val="Heading4"/>
        <w:jc w:val="center"/>
      </w:pPr>
      <w:r>
        <w:t>Povinnosti poskytovateľov služieb elektronického obstarávania</w:t>
      </w:r>
    </w:p>
    <w:p>
      <w:r>
        <w:t>1. Poskytovatelia služieb elektronického obstarávania zabezpečia, aby ich platformy elektronického obstarávania spĺňali harmonizované normy uvedené v článku 129, na ktoré boli uverejnené odkazy v Úradnom vestníku Európskej únie, alebo spoločné špecifikácie prijaté podľa článku 130.</w:t>
      </w:r>
    </w:p>
    <w:p>
      <w:r>
        <w:t>2. Poskytovatelia služieb elektronického obstarávania v relevantných prípadoch umožnia používanie európskych podnikových peňaženiek zriadených podľa nariadenia [Úrad pre publikácie – doplňte návrh o zriadení európskych podnikových peňaženiek] na služby, ktoré poskytujú hospodárskym subjektom a obstarávateľom.</w:t>
      </w:r>
    </w:p>
    <w:p>
      <w:r>
        <w:t>3. Poskytovatelia služieb elektronického obstarávania zabezpečia, aby sa ich platformy elektronického obstarávania pripojili k sieti interoperability v súlade s vykonávacími opatreniami stanovenými vo vykonávacích aktoch v súlade s článkom 128 ods. 3.</w:t>
      </w:r>
    </w:p>
    <w:p>
      <w:r>
        <w:t>4. Poskytovatelia služieb elektronického obstarávania sa nesmú nachádzať v situácii vyžadujúcej si vylúčenie podľa článku 25. Poskytovatelia služieb elektronického obstarávania musia byť usadení v Európskom hospodárskom priestore (EHP), musia byť vo vlastníctve a pod kontrolou fyzických alebo právnických osôb, ktoré sú usadené v EHP, a žiadna fyzická alebo právnická osoba usadená v tretej krajine nesmie nad nimi priamo ani nepriamo uplatňovať rozhodujúci vplyv. Poskytovatelia služieb elektronického obstarávania uchovávajú všetky údaje týkajúce sa postupov verejného obstarávania vykonávaných obstarávateľmi podľa tohto nariadenia v EHP.</w:t>
      </w:r>
    </w:p>
    <w:p>
      <w:r>
        <w:t>5. Poskytovatelia služieb elektronického obstarávania zabezpečia prístup k údajom o obstarávaní podľa článku 97 a neúčtujú žiadne poplatky za prístup k akejkoľvek elektronickej komunikácii vykonávanej prostredníctvom siete interoperability.</w:t>
      </w:r>
    </w:p>
    <w:p>
      <w:r>
        <w:t>6. Poskytovatelia služieb elektronického obstarávania zabezpečia, aby ich platforma elektronického obstarávania bola v súlade s technickými opatreniami stanovenými vo vykonávacom akte prijatom podľa článku 133 ods. 5.</w:t>
      </w:r>
    </w:p>
    <w:p>
      <w:r>
        <w:t>7. Poskytovatelia služieb elektronického obstarávania sa pripoja k NPPDS zriadenému v súlade s článkom 134, pokiaľ neposkytujú svoje služby výlučne hospodárskym subjektom.</w:t>
      </w:r>
    </w:p>
    <w:p>
      <w:r>
        <w:t>8. Členské štáty určia jeden alebo viacero príslušných orgánov zodpovedných za overovanie toho, či poskytovatelia služieb elektronického obstarávania dodržiavajú povinnosti stanovené v tomto článku. Stanovia sa v nich sankcie uplatniteľné na porušenie týchto povinností, ktoré zahŕňajú dočasný zákaz poskytovať tieto služby elektronického obstarávania. Tieto sankcie musia byť účinné, primerané a odrádzajúce.</w:t>
      </w:r>
    </w:p>
    <w:p>
      <w:pPr>
        <w:pStyle w:val="Heading3"/>
        <w:jc w:val="center"/>
      </w:pPr>
      <w:r>
        <w:t>Článok 132</w:t>
      </w:r>
    </w:p>
    <w:p>
      <w:pPr>
        <w:pStyle w:val="Heading4"/>
        <w:jc w:val="center"/>
      </w:pPr>
      <w:r>
        <w:t>Platforma Komisie pre elektronické obstarávanie</w:t>
      </w:r>
    </w:p>
    <w:p>
      <w:r>
        <w:t>1. Komisia zriadi a prevádzkuje platformu elektronického obstarávania (ďalej len „platforma elektronického obstarávania Komisie“) a sprístupní ju obstarávateľom na účely vykonávania postupov obstarávania a hospodárskym subjektom na účely účasti na postupoch obstarávania.</w:t>
      </w:r>
    </w:p>
    <w:p>
      <w:r>
        <w:t>2. Platforma elektronického obstarávania Komisie musí spĺňať požiadavky uplatniteľné na poskytovateľov služieb elektronického obstarávania stanovené v článku 131 ods. 1 až 6. Komisia sprístupní riešenie vyvinuté pre platformu elektronického obstarávania Komisie ako softvér s otvoreným zdrojovým kódom.</w:t>
      </w:r>
    </w:p>
    <w:p>
      <w:r>
        <w:t>3. Členské štáty môžu od obstarávateľov vyžadovať, aby používali platformu elektronického obstarávania Komisie. Toto rozhodnutie oznámia Komisii najmenej 12 mesiacov pred dátumom, od ktorého sú obstarávatelia povinní používať platformu elektronického obstarávania Komisie.</w:t>
      </w:r>
    </w:p>
    <w:p>
      <w:pPr>
        <w:pStyle w:val="Heading2"/>
        <w:jc w:val="center"/>
      </w:pPr>
      <w:r>
        <w:t>Kapitola 3</w:t>
      </w:r>
    </w:p>
    <w:p>
      <w:pPr>
        <w:pStyle w:val="Heading2"/>
        <w:jc w:val="center"/>
      </w:pPr>
      <w:r>
        <w:t>Elektronická oprávnenosť</w:t>
      </w:r>
    </w:p>
    <w:p>
      <w:pPr>
        <w:pStyle w:val="Heading3"/>
        <w:jc w:val="center"/>
      </w:pPr>
      <w:r>
        <w:t>Článok 133</w:t>
      </w:r>
    </w:p>
    <w:p>
      <w:pPr>
        <w:pStyle w:val="Heading4"/>
        <w:jc w:val="center"/>
      </w:pPr>
      <w:r>
        <w:t>Elektronická služba pre oprávnenosť</w:t>
      </w:r>
    </w:p>
    <w:p>
      <w:r>
        <w:t>1. Komisia zriadi a prevádzkuje elektronickú službu oprávnenosti. Elektronická služba oprávnenosti poskytuje elektronickú službu overovania dôvodov na vylúčenie, podmienok účasti a požiadavky pôvodu pre každý postup obstarávania prostredníctvom európskych podnikových peňaženiek zriadených podľa nariadenia [Úrad pre publikácie – vložte návrh na zriadenie európskych podnikových peňaženiek] alebo alternatívnymi elektronickými prostriedkami, ktoré sú interoperabilné s európskymi podnikovými peňaženkami.</w:t>
      </w:r>
    </w:p>
    <w:p>
      <w:r>
        <w:t>2. Obstarávatelia pri každom postupe obstarávania uvedú v elektronickej službe oprávnenosti uplatniteľné dôvody na vylúčenie, podmienky účasti a požiadavky pôvodu. Hospodárske subjekty vytvoria v elektronickej službe oprávnenosti profil oprávnenosti zodpovedajúci postupu obstarávania, na ktorom sa chcú zúčastniť. Profil oprávnenosti umožňuje obstarávateľom overiť, či hospodársky subjekt spĺňa požadované požiadavky prostredníctvom digitálneho nástroja na získanie obchodného certifikátu.</w:t>
      </w:r>
    </w:p>
    <w:p>
      <w:r>
        <w:t>3. Komisia je splnomocnená prijímať delegované akty v súlade s článkom 142 s cieľom doplniť toto nariadenie, v ktorých sa stanovia podrobné pravidlá správy elektronickej služby oprávnenosti a určí sa digitálny nástroj podnikateľských poverení a súvisiaca sieť, ktoré majú hospodárske subjekty používať na účely určenia oprávnenosti.</w:t>
      </w:r>
    </w:p>
    <w:p>
      <w:r>
        <w:t>4. Pri príprave delegovaných aktov uvedených v odseku 3 môže Komisia vybrať jeden alebo viacero z týchto nástrojov vrátane ich akejkoľvek kombinácie alebo akéhokoľvek ich nástupcu:</w:t>
      </w:r>
    </w:p>
    <w:p>
      <w:r>
        <w:t>a) európske podnikové peňaženky podľa [Úrad pre publikácie: doplňte nariadenie o európskych podnikových peňaženkách];</w:t>
      </w:r>
    </w:p>
    <w:p>
      <w:r>
        <w:t>b) technický systém založený na zásade „jedenkrát a dosť“ podľa článku 14 nariadenia (EÚ) 2018/1724[71];</w:t>
      </w:r>
    </w:p>
    <w:p>
      <w:r>
        <w:t>c) európsku peňaženku digitálnej identity podľa nariadenia (EÚ) č. 910/2014[72];</w:t>
      </w:r>
    </w:p>
    <w:p>
      <w:r>
        <w:t>d) Služby členských štátov, ak spĺňajú uplatniteľné požiadavky podľa odseku 5 písm. b) až f) tohto článku.</w:t>
      </w:r>
    </w:p>
    <w:p>
      <w:r>
        <w:t>5. Digitálne nástroje na získanie obchodného certifikátu uvedené v odseku 4 tohto článku musia spĺňať tieto požiadavky:</w:t>
      </w:r>
    </w:p>
    <w:p>
      <w:r>
        <w:t>a) v prípade nástrojov stanovených na úrovni Únie sa do 30. júna 2028 technicky zavedú vo všetkých členských štátoch a budú všeobecne dostupné pre hospodárske subjekty;</w:t>
      </w:r>
    </w:p>
    <w:p>
      <w:r>
        <w:t>b) vychádzajú z existujúcich nástrojov a noriem Únie;</w:t>
      </w:r>
    </w:p>
    <w:p>
      <w:r>
        <w:t>c) spĺňajú požiadavku ochrany osobných údajov v súlade s nariadeniami (EÚ) 2016/679 a (EÚ) 2018/1725 a zabezpečujú špecificky navrhnutú a štandardnú ochranu údajov, ako sa stanovuje v článku 25 nariadenia (EÚ) 2016/679 a článku 27 nariadenia (EÚ) 2018/1725, a poskytujú primerané záruky ochrany práv a slobôd dotknutých osôb podľa článkov 10 a 22 nariadenia (EÚ) 2016/679;</w:t>
      </w:r>
    </w:p>
    <w:p>
      <w:r>
        <w:t>d) zaistia bezpečnú, ľahko vykonateľnú, flexibilnú, konfigurovateľnú a nákladovo efektívnu výmenu údajov vo všetkých postupoch verejného obstarávania;</w:t>
      </w:r>
    </w:p>
    <w:p>
      <w:r>
        <w:t>e) musia byť prispôsobené osobitným potrebám MSP; podielu a</w:t>
      </w:r>
    </w:p>
    <w:p>
      <w:r>
        <w:t>f) ontológiu elektronického obstarávania považujú za sémantický rámec, ktorým sa štandardizujú koncepcie verejného obstarávania Únie.</w:t>
      </w:r>
    </w:p>
    <w:p>
      <w:r>
        <w:t>6. Komisia je splnomocnená prijímať vykonávacie akty, v ktorých stanoví technické podmienky elektronickej služby oprávnenosti. V uvedených vykonávacích aktoch sa spresnia najmä:</w:t>
      </w:r>
    </w:p>
    <w:p>
      <w:r>
        <w:t>a) technické usporiadanie a štruktúra siete digitálnych podnikových dokladov;</w:t>
      </w:r>
    </w:p>
    <w:p>
      <w:r>
        <w:t>b) technické informácie o pripojení k digitálnemu nástroju na získanie obchodného certifikátu;</w:t>
      </w:r>
    </w:p>
    <w:p>
      <w:r>
        <w:t>c) formát a štruktúru údajov vrátane konfigurácie a syntaxe;</w:t>
      </w:r>
    </w:p>
    <w:p>
      <w:r>
        <w:t>d) sémantické úložisko;</w:t>
      </w:r>
    </w:p>
    <w:p>
      <w:r>
        <w:t>e) požiadavky na interoperabilitu;</w:t>
      </w:r>
    </w:p>
    <w:p>
      <w:r>
        <w:t>f) nastavenie algoritmického nástroja potrebného pre dynamický postup vrátane vymedzenia algoritmu;</w:t>
      </w:r>
    </w:p>
    <w:p>
      <w:r>
        <w:t>g) škálovateľnosť a výkonnosť;</w:t>
      </w:r>
    </w:p>
    <w:p>
      <w:r>
        <w:t>h) požiadavky na bezpečnosť a zodpovednosť;</w:t>
      </w:r>
    </w:p>
    <w:p>
      <w:r>
        <w:t>i) vlastníctvo údajov a riadenie prístupu k nim;</w:t>
      </w:r>
    </w:p>
    <w:p>
      <w:r>
        <w:t>j) technické informácie o vnútroštátnych prístupových bodoch k digitálnemu nástroju na získanie obchodného certifikátu a prístupovom bode Komisie;</w:t>
      </w:r>
    </w:p>
    <w:p>
      <w:r>
        <w:t>k) organizačné a technické opatrenia na spracúvanie osobných údajov;</w:t>
      </w:r>
    </w:p>
    <w:p>
      <w:r>
        <w:t>l) opatrenia na riešenie nevhodného alebo podvodného používania siete digitálnych podnikových dokladov;</w:t>
      </w:r>
    </w:p>
    <w:p>
      <w:r>
        <w:t>m) technické audity;</w:t>
      </w:r>
    </w:p>
    <w:p>
      <w:r>
        <w:t>n) dostupnosť siete a údajov digitálnych obchodných identifikátorov;</w:t>
      </w:r>
    </w:p>
    <w:p>
      <w:r>
        <w:t>o) povinnosti siete obchodných nástrojov pre digitálne certifikáty; podielu a</w:t>
      </w:r>
    </w:p>
    <w:p>
      <w:r>
        <w:t>p) podrobné pravidlá týkajúce sa povinností členských štátov a Komisie, pokiaľ ide o elektronickú službu oprávnenosti vrátane riešenia dôvodov na vylúčenie stanovených v článkoch 25 a 26 a podmienok účasti stanovených podľa článku 27.</w:t>
      </w:r>
    </w:p>
    <w:p>
      <w:r>
        <w:t>Vykonávacie akty uvedené v prvom pododseku tohto odseku sa prijmú v súlade s konzultačným postupom uvedeným v článku 143 ods. 2.</w:t>
      </w:r>
    </w:p>
    <w:p>
      <w:r>
        <w:t>7. Na účely nariadenia (EÚ) 2018/1725 sa Komisia považuje za sprostredkovateľa v zmysle vymedzenia v článku 3 bode 12 uvedeného nariadenia, pokiaľ ide o spracúvanie akýchkoľvek osobných údajov, ktoré môžu vyplynúť zo zriadenia a správy elektronickej služby oprávnenosti.</w:t>
      </w:r>
    </w:p>
    <w:p>
      <w:r>
        <w:t>8. Členské štáty informujú Komisiu do 30 dní od vytvorenia akýchkoľvek nových osvedčení alebo iných foriem listinných dôkazov, ktoré sa majú poskytnúť prostredníctvom elektronickej služby oprávnenosti.</w:t>
      </w:r>
    </w:p>
    <w:p>
      <w:r>
        <w:rPr>
          <w:sz w:val="16"/>
        </w:rPr>
        <w:t>71 Nariadenie Európskeho parlamentu a Rady (EÚ) 2018/1724 z 2. októbra 2018 o zriadení jednotnej digitálnej brány na poskytovanie prístupu k informáciám, postupom a asistenčným službám a službám riešenia problémov a o zmene nariadenia (EÚ) č. 1024/2012 (Ú. v. EÚ L 295, 21.11.2018, s. 1, ELI: http://data.europa.eu/eli/reg/2018/1724/oj).</w:t>
      </w:r>
    </w:p>
    <w:p>
      <w:r>
        <w:rPr>
          <w:sz w:val="16"/>
        </w:rPr>
        <w:t>72 Nariadenie Európskeho parlamentu a Rady (EÚ) č. 910/2014 z 23. júla 2014 o elektronickej identifikácii a dôveryhodných službách pre elektronické transakcie na vnútornom trhu a o zrušení smernice 1999/93/ES (Ú. v. EÚ L 257, 28.8.2014, s. 73, ELI: http://data.europa.eu/eli/reg/2014/910/oj).</w:t>
      </w:r>
    </w:p>
    <w:p>
      <w:pPr>
        <w:pStyle w:val="Heading2"/>
        <w:jc w:val="center"/>
      </w:pPr>
      <w:r>
        <w:t>Časť VI</w:t>
      </w:r>
    </w:p>
    <w:p>
      <w:pPr>
        <w:pStyle w:val="Heading2"/>
        <w:jc w:val="center"/>
      </w:pPr>
      <w:r>
        <w:t>Transparentnosť a riadenie</w:t>
      </w:r>
    </w:p>
    <w:p>
      <w:pPr>
        <w:pStyle w:val="Heading2"/>
        <w:jc w:val="center"/>
      </w:pPr>
      <w:r>
        <w:t>Hlava I</w:t>
      </w:r>
    </w:p>
    <w:p>
      <w:pPr>
        <w:pStyle w:val="Heading2"/>
        <w:jc w:val="center"/>
      </w:pPr>
      <w:r>
        <w:t>Dátové priestory</w:t>
      </w:r>
    </w:p>
    <w:p>
      <w:pPr>
        <w:pStyle w:val="Heading3"/>
        <w:jc w:val="center"/>
      </w:pPr>
      <w:r>
        <w:t>Článok 134</w:t>
      </w:r>
    </w:p>
    <w:p>
      <w:pPr>
        <w:pStyle w:val="Heading4"/>
        <w:jc w:val="center"/>
      </w:pPr>
      <w:r>
        <w:t>Vnútroštátne dátové priestory pre verejné obstarávanie</w:t>
      </w:r>
    </w:p>
    <w:p>
      <w:r>
        <w:t>1. Každý členský štát zriadi alebo určí národný dátový priestor pre verejné obstarávanie (ďalej len „NPPDS“) ako centrálny vnútroštátny prístupový bod k údajom o verejnom obstarávaní týkajúcim sa životného cyklu verejného obstarávania a zmlúv a iným súvisiacim vnútroštátnym informáciám o obstarávaní, na ktoré sa vzťahuje toto nariadenie, a pôsobí ako kontaktné miesto členského štátu pre dátový priestor pre verejné obstarávanie podľa článku 135.</w:t>
      </w:r>
    </w:p>
    <w:p>
      <w:r>
        <w:t>2. Každý členský štát určí orgán alebo orgány zodpovedné za prevádzku NPPDS uvedeného v odseku 1 (ďalej len „orgán NPPDS“).</w:t>
      </w:r>
    </w:p>
    <w:p>
      <w:r>
        <w:t>NPPDS musí byť usadený v EHP, musí byť vo vlastníctve a pod kontrolou fyzických alebo právnických osôb usadených v EHP a žiadna fyzická alebo právnická osoba usadená v tretej krajine nesmie priamo ani nepriamo uplatňovať rozhodujúci vplyv na NPPDS. Informácie o obstarávaní sa uchovávajú v rámci EHP.</w:t>
      </w:r>
    </w:p>
    <w:p>
      <w:r>
        <w:t>3. Orgán NPPDS zabezpečí, aby sa prostredníctvom NPPDS sprístupnili tieto informácie o obstarávaní:</w:t>
      </w:r>
    </w:p>
    <w:p>
      <w:r>
        <w:t>a) informácie o obstarávaní týkajúcom sa postupov obstarávania presahujúcich finančné limity uvedené v článku 2, ktoré zodpovedajú verejným zhrnutiam uvedeným vo vykonávacom akte prijatom podľa článku 110;</w:t>
      </w:r>
    </w:p>
    <w:p>
      <w:r>
        <w:t>b) informácie o obstarávaní týkajúcom sa postupov obstarávania pod finančnými limitmi uvedenými v článku 2, ak sa tieto informácie o obstarávaní poskytujú vo formáte zodpovedajúcom verejným zhrnutiam uvedeným vo vykonávacom akte prijatom podľa článku 110; podielu a</w:t>
      </w:r>
    </w:p>
    <w:p>
      <w:r>
        <w:t>c) informácie o verejnom obstarávaní týkajúcom sa verejných zákaziek zadaných na základe vylúčení podľa článkov 80, 81, 83 a 84, najmä informácie o organizáciách relevantných pre zákazku, účele a výsledku zákazky, ako aj odôvodnenie vylúčenia.</w:t>
      </w:r>
    </w:p>
    <w:p>
      <w:r>
        <w:t>Informácie o obstarávaní uvedené v písmenách a) a b) sa sprístupňujú prostredníctvom NPPDS v rovnakom čase, ako sa sprístupňujú na úrovni Únie, alebo ak sa nesprístupňujú na úrovni Únie, v rovnakom čase, ako sa sprístupňujú na vnútroštátnej úrovni. Informácie o obstarávaní uvedené v písmene c) sa sprístupnia do 20 dní od uzavretia zmluvy, resp. ukončenia zmluvy.</w:t>
      </w:r>
    </w:p>
    <w:p>
      <w:r>
        <w:t>4. Orgán pre NPPDS zabezpečí, aby sa prostredníctvom NPPDS sprístupnili informácie o obstarávaní z uzavretých zmlúv a z dokončených zmlúv s hodnotou najmenej 10 000 EUR, ak by sa toto nariadenie vzťahovalo na predchádzajúce obstarávanie, ak by jeho hodnota presiahla príslušný finančný limit stanovený v článku 2. Obsahuje informácie o organizáciách relevantných pre zmluvu a o účele a výsledku zmluvy.</w:t>
      </w:r>
    </w:p>
    <w:p>
      <w:r>
        <w:t>Informácie sa sprístupnia prostredníctvom NPPDS najneskôr 20 dní po uzavretí a dokončení zmluvy.</w:t>
      </w:r>
    </w:p>
    <w:p>
      <w:r>
        <w:t>5. Orgán NPPDS zabezpečí, aby sa prostredníctvom NPPDS sprístupnili tieto informácie:</w:t>
      </w:r>
    </w:p>
    <w:p>
      <w:r>
        <w:t>a) informácie o účastníkoch postupu verejného obstarávania vrátane výsledku ich účasti;</w:t>
      </w:r>
    </w:p>
    <w:p>
      <w:r>
        <w:t>b) informácie o subdodávateľoch a poskytovateľoch doplnkových služieb;</w:t>
      </w:r>
    </w:p>
    <w:p>
      <w:r>
        <w:t>c) podrobnosti o obstarávaní, ponukách, zákazkách a odovzdávacích dokumentoch;</w:t>
      </w:r>
    </w:p>
    <w:p>
      <w:r>
        <w:t>d) informácie o rozpočte vrátane informácií o finančných prostriedkoch EÚ;</w:t>
      </w:r>
    </w:p>
    <w:p>
      <w:r>
        <w:t>e) informácie o zmluvách a jednotlivých platbách;</w:t>
      </w:r>
    </w:p>
    <w:p>
      <w:r>
        <w:t>f) informácie, ktoré sú relevantné pre posúdenie dodržiavania tohto nariadenia obstarávateľmi;</w:t>
      </w:r>
    </w:p>
    <w:p>
      <w:r>
        <w:t>g) informácie relevantné pre posúdenie rozsahu, v akom obstarávatelia sledujú strategické ciele obstarávania, ako sú environmentálne, sociálne alebo inovačné ciele, a ich prínosu k dosiahnutiu týchto cieľov;</w:t>
      </w:r>
    </w:p>
    <w:p>
      <w:r>
        <w:t>h) informácie o účasti MSP na verejnom obstarávaní;</w:t>
      </w:r>
    </w:p>
    <w:p>
      <w:r>
        <w:t>i) informácie týkajúce sa rizikových faktorov vo verejnom obstarávaní vrátane korupcie, podvodu, kolúzie alebo nekalých praktík hospodárskej súťaže;</w:t>
      </w:r>
    </w:p>
    <w:p>
      <w:r>
        <w:t>j) informácie o fungovaní vnútroštátnych systémov preskúmania; podielu a</w:t>
      </w:r>
    </w:p>
    <w:p>
      <w:r>
        <w:t>k) informácie o fungovaní vnútroštátnych trhov verejného obstarávania pod prahovými hodnotami a nad nimi vrátane informácií o vnútroštátnej a cezhraničnej účasti a účasti tretích krajín vrátane pôvodu tovaru a informácií o skutočnom vlastníctve.</w:t>
      </w:r>
    </w:p>
    <w:p>
      <w:r>
        <w:t>Informácie o obstarávaní sa sprístupnia prostredníctvom NPPDS čo najskôr, najneskôr však do 20 dní od výskytu príslušných informácií. Ak sa informácie týkajú prebiehajúceho postupu preskúmania, sprístupnia sa prostredníctvom NPPDS do 20 dní od ukončenia príslušného postupu preskúmania.</w:t>
      </w:r>
    </w:p>
    <w:p>
      <w:r>
        <w:t>6. Informácie o obstarávaní sa považujú za dostupné až po ich overení podľa požiadaviek na technickú validáciu stanovených Úniou. Po úspešnej validácii NPPDS zašle potvrdenie o validácii subjektu, ktorý sprístupnil informácie o obstarávaní. Informácie o obstarávaní zostávajú dostupné prostredníctvom NPPDS najmenej desať rokov od dátumu ich sprístupnenia.</w:t>
      </w:r>
    </w:p>
    <w:p>
      <w:r>
        <w:t>7. Komisia je splnomocnená prijímať delegované akty v súlade s článkom 141, v ktorých stanoví ďalšie kategórie informácií o obstarávaní, ktoré sa majú sprístupniť NPPDS.</w:t>
      </w:r>
    </w:p>
    <w:p>
      <w:r>
        <w:t>8. Komisia je splnomocnená prijímať vykonávacie akty v súlade s článkom 143 ods. 2, v ktorých stanoví informácie o obstarávaní, ktoré sa sprístupnia prostredníctvom NPPDS, ako aj ich technický formát, určenie a spôsoby takéhoto určenia konkrétnych informácií o obstarávaní za verejne alebo neverejne dostupné informácie o obstarávaní, zdroj požiadaviek na technickú validáciu podľa odseku 7, ako aj prepojenie verejných zhrnutí a postupnosť konkrétnych informácií obsiahnutých vo viacerých verejných zhrnutiach a stanoví požiadavky na obstarávateľov, aby opätovne použili informácie, ktoré už boli poskytnuté vo verejnom zhrnutí, ako aj požiadavky na poskytovateľov služieb elektronického obstarávania, aby poskytovali zodpovedajúcu službu opätovného použitia.</w:t>
      </w:r>
    </w:p>
    <w:p>
      <w:r>
        <w:t>Ak informácie o obstarávaní nie sú určené ako verejne dostupné, členské štáty zabezpečia, aby určité kategórie používateľov, ako sú obstarávatelia, orgány na ochranu hospodárskej súťaže, dvory audítorov a vnútroštátne finančné spravodajské jednotky, mali priame a komplexné prístupové práva zodpovedajúce ich príslušným potrebám a účelom.</w:t>
      </w:r>
    </w:p>
    <w:p>
      <w:r>
        <w:t>9. Členské štáty stanovia pravidlá, ktorými sa zabezpečí úplné, správne a včasné poskytnutie prístupu k informáciám o obstarávaní pre NPPDS v súlade s týmto nariadením, ako aj pravidlá stanovujúce správu údajov, v ktorých sa jasne stanovuje zodpovednosť za správu a používanie dostupných informácií o obstarávaní vrátane prístupu pre kategórie používateľov stanovené v odseku 10. Členské štáty môžu stanoviť aj pravidlá, ktorými sa konkrétnym právnym subjektom uloží povinnosť poskytovať informácie o obstarávaní do NPPDS, vrátane pravidiel týkajúcich sa poskytovania alebo získavania informácií o obstarávaní z iných vnútroštátnych databáz. Členské štáty uložia účinné, primerané a odrádzajúce pokuty za porušenia týkajúce sa povinnosti poskytnúť prístup k informáciám o obstarávaní. Členské štáty oznámia tieto pravidlá Komisii do 12 mesiacov od prijatia tohto nariadenia.</w:t>
      </w:r>
    </w:p>
    <w:p>
      <w:r>
        <w:t>10. Ak o to členský štát požiada, Komisia poskytne členským štátom zdrojový kód dátového priestoru pre verejné obstarávanie na účely zriadenia NPPDS.</w:t>
      </w:r>
    </w:p>
    <w:p>
      <w:pPr>
        <w:pStyle w:val="Heading3"/>
        <w:jc w:val="center"/>
      </w:pPr>
      <w:r>
        <w:t>Článok 135</w:t>
      </w:r>
    </w:p>
    <w:p>
      <w:pPr>
        <w:pStyle w:val="Heading4"/>
        <w:jc w:val="center"/>
      </w:pPr>
      <w:r>
        <w:t>Dátový priestor pre verejné obstarávanie</w:t>
      </w:r>
    </w:p>
    <w:p>
      <w:r>
        <w:t>1. Dátový priestor pre verejné obstarávanie (ďalej len „PPDS“) zriadený Komisiou a založený na ontológii elektronického obstarávania a zásadách vyhľadateľnosti, prístupnosti, interoperability a opätovného použitia digitálnych aktív (FAIR) je centrálnym úložiskom informácií o verejnom obstarávaní pochádzajúcich zo všetkých NPPDS na monitorovanie postupov verejného obstarávania a zákaziek na úrovni Únie.</w:t>
      </w:r>
    </w:p>
    <w:p>
      <w:r>
        <w:t>2. Členské štáty poskytnú dátovému priestoru pre verejné obstarávanie informácie o obstarávaní dostupné prostredníctvom NPPDS do desiatich dní od dostupnosti informácií o obstarávaní podľa článku 134.</w:t>
      </w:r>
    </w:p>
    <w:p>
      <w:r>
        <w:t>Informácie o obstarávaní sa považujú za prijaté až po ich validácii v súlade s požiadavkami na technickú validáciu stanovenými Úniou. Na tento účel NPPDS dostane potvrdenie o validácii. Informácie o obstarávaní zostávajú dostupné pre dátový priestor pre verejné obstarávanie aspoň desať rokov od dátumu ich sprístupnenia.</w:t>
      </w:r>
    </w:p>
    <w:p>
      <w:r>
        <w:t>3. Komisia je splnomocnená prijímať vykonávacie akty, v ktorých stanoví informácie o obstarávaní, ktoré členské štáty poskytujú prostredníctvom dátového priestoru pre verejné obstarávanie, vrátane jeho technického formátu, minimálnych podmienok uverejňovania informácií o obstarávaní, ktoré nie sú označené ako verejne dostupné, a zdroja požiadaviek na technickú validáciu podľa odseku 2.</w:t>
      </w:r>
    </w:p>
    <w:p>
      <w:r>
        <w:t>Tieto vykonávacie akty sa prijímajú v súlade s konzultačným postupom uvedeným v článku 143 ods. 2.</w:t>
      </w:r>
    </w:p>
    <w:p>
      <w:r>
        <w:t>4. Prístup k informáciám o obstarávaní, ktoré nie sú označené ako verejne dostupné, sa obmedzuje na osoby, ktoré majú potrebné prístupové práva udelené Komisiou. Ak členský štát požiada vnútroštátny orgán verejnej moci o prístupové práva k informáciám o obstarávaní z iného členského štátu, získa prístupové práva až po tom, ako tento iný členský štát prístup schváli.</w:t>
      </w:r>
    </w:p>
    <w:p>
      <w:r>
        <w:t>5. Komisia môže udeliť prístup k dátovému priestoru pre verejné obstarávanie inštitúciám Únie v zmysle článku 2 bodu 73 nariadenia (EÚ, Euratom) 2024/2509, výkonným agentúram a orgánom Únie v zmysle článkov 68, 69 a 70 uvedeného nariadenia, Európskej prokuratúre, Európskemu úradu pre boj proti podvodom a Európskej centrálnej banke podľa ich príslušných potrieb a účelov.</w:t>
      </w:r>
    </w:p>
    <w:p>
      <w:pPr>
        <w:pStyle w:val="Heading3"/>
        <w:jc w:val="center"/>
      </w:pPr>
      <w:r>
        <w:t>Článok 136</w:t>
      </w:r>
    </w:p>
    <w:p>
      <w:pPr>
        <w:pStyle w:val="Heading4"/>
        <w:jc w:val="center"/>
      </w:pPr>
      <w:r>
        <w:t>Výmena údajov v PPDS</w:t>
      </w:r>
    </w:p>
    <w:p>
      <w:r>
        <w:t>1. Komisia zavedie výmenu údajov na riadenie prístupu k informáciám o obstarávaní PPDS a NPPDS.</w:t>
      </w:r>
    </w:p>
    <w:p>
      <w:r>
        <w:t>2. Komisia riadi výmenu údajov a zabezpečuje bezpečnú výmenu informácií o obstarávaní. Na tento účel môže Komisia prijať vykonávacie akty v súlade s konzultačným postupom uvedeným v článku 143 ods. 2, v ktorých stanoví tieto vykonávacie opatrenia na výmenu údajov podľa práva Únie:</w:t>
      </w:r>
    </w:p>
    <w:p>
      <w:r>
        <w:t>a) technické informácie o pripojení k výmene údajov;</w:t>
      </w:r>
    </w:p>
    <w:p>
      <w:r>
        <w:t>b) formát a štruktúru údajov vrátane konfigurácie a syntaxe;</w:t>
      </w:r>
    </w:p>
    <w:p>
      <w:r>
        <w:t>c) sémantické úložisko;</w:t>
      </w:r>
    </w:p>
    <w:p>
      <w:r>
        <w:t>d) požiadavky na interoperabilitu;</w:t>
      </w:r>
    </w:p>
    <w:p>
      <w:r>
        <w:t>e) škálovateľnosť a výkonnosť;</w:t>
      </w:r>
    </w:p>
    <w:p>
      <w:r>
        <w:t>f) požiadavky na bezpečnosť a zodpovednosť;</w:t>
      </w:r>
    </w:p>
    <w:p>
      <w:r>
        <w:t>g) vlastníctvo údajov a riadenie prístupu k nim;</w:t>
      </w:r>
    </w:p>
    <w:p>
      <w:r>
        <w:t>h) organizačné a technické opatrenia na spracúvanie osobných údajov;</w:t>
      </w:r>
    </w:p>
    <w:p>
      <w:r>
        <w:t>i) opatrenia na boj proti nevhodnému alebo podvodnému používaniu výmeny údajov;</w:t>
      </w:r>
    </w:p>
    <w:p>
      <w:r>
        <w:t>j) dostupnosť výmeny údajov a údajov; podielu a</w:t>
      </w:r>
    </w:p>
    <w:p>
      <w:r>
        <w:t>k) prepojenia uskutočnené prostredníctvom výmeny údajov, napríklad s NPPDS.</w:t>
      </w:r>
    </w:p>
    <w:p>
      <w:pPr>
        <w:pStyle w:val="Heading2"/>
        <w:jc w:val="center"/>
      </w:pPr>
      <w:r>
        <w:t>Hlava II</w:t>
      </w:r>
    </w:p>
    <w:p>
      <w:pPr>
        <w:pStyle w:val="Heading2"/>
        <w:jc w:val="center"/>
      </w:pPr>
      <w:r>
        <w:t>Správa a riadenie</w:t>
      </w:r>
    </w:p>
    <w:p>
      <w:pPr>
        <w:pStyle w:val="Heading3"/>
        <w:jc w:val="center"/>
      </w:pPr>
      <w:r>
        <w:t>Článok 137</w:t>
      </w:r>
    </w:p>
    <w:p>
      <w:pPr>
        <w:pStyle w:val="Heading4"/>
        <w:jc w:val="center"/>
      </w:pPr>
      <w:r>
        <w:t>Monitorovanie výkonnosti trhov verejného obstarávania</w:t>
      </w:r>
    </w:p>
    <w:p>
      <w:r>
        <w:t>1. Členské štáty monitorujú a posudzujú výkonnosť svojich systémov verejného obstarávania na základe údajov vo svojich NPPDS. Identifikujú potenciálne nedostatky a možné zlepšenia, čím podporujú neustále zlepšovanie svojho systému verejného obstarávania.</w:t>
      </w:r>
    </w:p>
    <w:p>
      <w:r>
        <w:t>Členské štáty prinajmenšom:</w:t>
      </w:r>
    </w:p>
    <w:p>
      <w:r>
        <w:t>a) posúdia prekážky hospodárskej súťaže a prístup k príležitostiam verejného obstarávania, najmä pre MSP;</w:t>
      </w:r>
    </w:p>
    <w:p>
      <w:r>
        <w:t>b) identifikovať a posúdiť hlavné zraniteľné miesta a riziká ovplyvňujúce integritu a efektívnosť systému verejného obstarávania;</w:t>
      </w:r>
    </w:p>
    <w:p>
      <w:r>
        <w:t>c) posúdi uplatňovanie bezpečnostných mechanizmov, mechanizmov odolnosti a európskych preferenčných mechanizmov vrátane identifikácie akýchkoľvek náznakov obchádzania zo strany hospodárskych subjektov v prípade európskych preferenčných mechanizmov;</w:t>
      </w:r>
    </w:p>
    <w:p>
      <w:r>
        <w:t>d) vyhodnotiť pokrok pri dosahovaní strategických cieľov obstarávania vrátane environmentálnych, sociálnych a inovačných aspektov;</w:t>
      </w:r>
    </w:p>
    <w:p>
      <w:r>
        <w:t>e) monitorovať výkonnosť, úpravy a úpravy veľkých infraštruktúrnych projektov a dlhodobých zmlúv, ako sú koncesie.</w:t>
      </w:r>
    </w:p>
    <w:p>
      <w:r>
        <w:t>Výsledky posúdenia uvedeného v druhom pododseku sa zverejnia vhodnými informačnými prostriedkami, a to aspoň raz ročne.</w:t>
      </w:r>
    </w:p>
    <w:p>
      <w:r>
        <w:t>Ak sa zistia štrukturálne nedostatky, členské štáty podporia opatrenia na ich riešenie vypracovaním a vykonávaním komplexného akčného plánu pre jednotlivé krajiny.</w:t>
      </w:r>
    </w:p>
    <w:p>
      <w:r>
        <w:t>2. Členské štáty každé tri roky podajú Komisii správu o výsledkoch posúdenia a v prípade zistenia štrukturálnych nedostatkov o prijatých, plánovaných alebo plánovaných opatreniach na riešenie týchto nedostatkov, pričom prvú správu majú predložiť do... [Úrad pre publikácie: vložiť dátum tri roky po nadobudnutí účinnosti tohto nariadenia].</w:t>
      </w:r>
    </w:p>
    <w:p>
      <w:r>
        <w:t>3. Komisia monitoruje a analyzuje fungovanie verejného obstarávania v Únii, najmä hospodársku súťaž na trhoch verejného obstarávania, na základe údajov v dátovom priestore pre verejné obstarávanie. Komisia každé tri roky poskytne analýzu systému verejného obstarávania v celej Únii.</w:t>
      </w:r>
    </w:p>
    <w:p>
      <w:pPr>
        <w:pStyle w:val="Heading3"/>
        <w:jc w:val="center"/>
      </w:pPr>
      <w:r>
        <w:t>Článok 138</w:t>
      </w:r>
    </w:p>
    <w:p>
      <w:pPr>
        <w:pStyle w:val="Heading4"/>
        <w:jc w:val="center"/>
      </w:pPr>
      <w:r>
        <w:t>Národný koordinačný orgán</w:t>
      </w:r>
    </w:p>
    <w:p>
      <w:r>
        <w:t>1. Každý členský štát určí jeden orgán, subjekt alebo štruktúru ako národný koordinačný orgán na účely tohto nariadenia.</w:t>
      </w:r>
    </w:p>
    <w:p>
      <w:r>
        <w:t>2. Národný koordinačný orgán:</w:t>
      </w:r>
    </w:p>
    <w:p>
      <w:r>
        <w:t>a) zabezpečujú účinnú koordináciu medzi vnútroštátnymi orgánmi zodpovednými za plnenie úloh a vykonávanie právomocí stanovených v tomto nariadení;</w:t>
      </w:r>
    </w:p>
    <w:p>
      <w:r>
        <w:t>b) uľahčuje spoluprácu a výmenu informácií medzi týmito orgánmi;</w:t>
      </w:r>
    </w:p>
    <w:p>
      <w:r>
        <w:t>c) sprístupňuje štandardizované zmluvné dokumenty, usmernenia alebo poradenstvo pre veľké projekty v oblasti infraštruktúry a dlhodobé zákazky, ako sú koncesie, vrátane usmernení, metodík alebo vzorových ustanovení týkajúcich sa rozdelenia rizika a mechanizmov finančnej úpravy;</w:t>
      </w:r>
    </w:p>
    <w:p>
      <w:r>
        <w:t>d) pôsobia ako jednotné kontaktné miesto pre Komisiu, príslušné orgány iných členských štátov a v prípade potreby pre príslušné zainteresované strany v záležitostiach týkajúcich sa tohto nariadenia.</w:t>
      </w:r>
    </w:p>
    <w:p>
      <w:r>
        <w:t>Členské štáty môžu stanoviť, že úpravy veľkých projektov v oblasti infraštruktúry a dlhodobých zákaziek, ako sú koncesie zahŕňajúce zvýšenie hodnoty presahujúce 50 % hodnoty pôvodnej zákazky, podliehajú štruktúrovanému a transparentnému postupu predchádzajúceho preskúmania zo strany národného koordinačného orgánu.</w:t>
      </w:r>
    </w:p>
    <w:p>
      <w:r>
        <w:t>3. Určenie národného koordinačného orgánu podľa odseku 1 nemá vplyv na rozdelenie úloh a právomocí medzi príslušné orgány podľa vnútroštátneho práva.</w:t>
      </w:r>
    </w:p>
    <w:p>
      <w:r>
        <w:t>4. Členské štáty oznámia Komisii národný koordinačný orgán určený podľa odseku 1 a všetky jeho následné zmeny.</w:t>
      </w:r>
    </w:p>
    <w:p>
      <w:pPr>
        <w:pStyle w:val="Heading3"/>
        <w:jc w:val="center"/>
      </w:pPr>
      <w:r>
        <w:t>Článok 139</w:t>
      </w:r>
    </w:p>
    <w:p>
      <w:pPr>
        <w:pStyle w:val="Heading4"/>
        <w:jc w:val="center"/>
      </w:pPr>
      <w:r>
        <w:t>Profesionalizácia a budovanie kapacít</w:t>
      </w:r>
    </w:p>
    <w:p>
      <w:r>
        <w:t>1. Členské štáty zabezpečia, aby profesionalizácia verejného obstarávania bola dlhodobým a strategickým prvkom verejnej správy, a to prijatím vhodných opatrení vrátane inštitucionálnych, organizačných, finančných opatrení a opatrení v oblasti ľudských zdrojov.</w:t>
      </w:r>
    </w:p>
    <w:p>
      <w:r>
        <w:t>2. Opatrenia prijaté podľa tohto článku podporujú profesionalizáciu obstarávateľov počas celého cyklu verejného obstarávania.</w:t>
      </w:r>
    </w:p>
    <w:p>
      <w:r>
        <w:t>3. Členské štáty okrem toho podporujú opatrenia na posilnenie schopnosti hospodárskych subjektov, najmä MSP, účinne sa zúčastňovať na postupoch verejného obstarávania, ako aj opatrenia na podporu iných aktérov prispievajúcich k fungovaniu systému verejného obstarávania, ako sú orgány dohľadu.</w:t>
      </w:r>
    </w:p>
    <w:p>
      <w:r>
        <w:t>4. Členské štáty prijmú, vykonávajú a pravidelne aktualizujú národnú stratégiu profesionalizácie verejného obstarávania. Stratégia zahŕňa aspoň ciele, opatrenia a vhodné monitorovacie opatrenia na rozvoj zručností a kompetencií obstarávateľov na vnútroštátnej, regionálnej a miestnej úrovni.</w:t>
      </w:r>
    </w:p>
    <w:p>
      <w:r>
        <w:t>5. Členské štáty preskúmajú a aktualizujú stratégiu so zreteľom na odsek 6.</w:t>
      </w:r>
    </w:p>
    <w:p>
      <w:r>
        <w:t>6. Členské štáty zabezpečia, aby mali obstarávatelia počas celého cyklu verejného obstarávania na vnútroštátnej, regionálnej a miestnej úrovni k dispozícii vhodné podporné štruktúry s osobitným dôrazom na obstarávateľov s obmedzenými administratívnymi kapacitami.</w:t>
      </w:r>
    </w:p>
    <w:p>
      <w:r>
        <w:t>Tieto podporné štruktúry poskytujú obstarávateľom usmernenia, poradenstvo, pomoc a iné opatrenia na budovanie kapacít, najmä pokiaľ ide o:</w:t>
      </w:r>
    </w:p>
    <w:p>
      <w:r>
        <w:t>a) plánovanie verejného obstarávania a posúdenie potrieb;</w:t>
      </w:r>
    </w:p>
    <w:p>
      <w:r>
        <w:t>b) zapojenie trhu a dialóg s hospodárskymi subjektmi;</w:t>
      </w:r>
    </w:p>
    <w:p>
      <w:r>
        <w:t>c) posúdenie a riadenie rizika;</w:t>
      </w:r>
    </w:p>
    <w:p>
      <w:r>
        <w:t>d) bezúhonnosť, transparentnosť a predchádzanie konfliktom záujmov, podvodom a korupcii;</w:t>
      </w:r>
    </w:p>
    <w:p>
      <w:r>
        <w:t>e) príprava a vykonávanie postupov verejného obstarávania;</w:t>
      </w:r>
    </w:p>
    <w:p>
      <w:r>
        <w:t>f) udržateľné, inovačné a strategické obstarávanie;</w:t>
      </w:r>
    </w:p>
    <w:p>
      <w:r>
        <w:t>g) riadenie zmlúv a monitorovanie výkonnosti;</w:t>
      </w:r>
    </w:p>
    <w:p>
      <w:r>
        <w:t>h) zhromažďovanie a šírenie osvedčených postupov;</w:t>
      </w:r>
    </w:p>
    <w:p>
      <w:r>
        <w:t>i) digitalizácia a používanie systémov a údajov elektronického obstarávania;</w:t>
      </w:r>
    </w:p>
    <w:p>
      <w:r>
        <w:t>j) riadenie dodávateľského reťazca a odolnosť.</w:t>
      </w:r>
    </w:p>
    <w:p>
      <w:r>
        <w:t>7. Podporné štruktúry môžu takisto poskytovať usmernenia, poradenstvo, pomoc a iné opatrenia na budovanie kapacít hospodárskym subjektom, najmä MSP, s cieľom uľahčiť ich prístup k verejnému obstarávaniu, ako aj iným aktérom, ktorí prispievajú k fungovaniu systému verejného obstarávania.</w:t>
      </w:r>
    </w:p>
    <w:p>
      <w:r>
        <w:t>8. Komisia pomáha členským štátom v ich úsilí o posilnenie profesionalizácie verejného obstarávania, a to aj podporou spolupráce medzi vnútroštátnymi podpornými štruktúrami, výmeny poznatkov a osvedčených postupov, partnerského učenia, využívania nástrojov na budovanie kapacít a prípadne vypracovania dodatočných opatrení.</w:t>
      </w:r>
    </w:p>
    <w:p>
      <w:r>
        <w:t>9. Členské štáty monitorujú a posudzujú vykonávanie a účinnosť opatrení prijatých podľa tohto článku vrátane ich vplyvu na výkonnosť systému verejného obstarávania a podávajú správy v rámci podávania správ uvedeného v článku 137 ods. 2.</w:t>
      </w:r>
    </w:p>
    <w:p>
      <w:pPr>
        <w:pStyle w:val="Heading3"/>
        <w:jc w:val="center"/>
      </w:pPr>
      <w:r>
        <w:t>Článok 140</w:t>
      </w:r>
    </w:p>
    <w:p>
      <w:pPr>
        <w:pStyle w:val="Heading4"/>
        <w:jc w:val="center"/>
      </w:pPr>
      <w:r>
        <w:t>Správa bezúhonnosti</w:t>
      </w:r>
    </w:p>
    <w:p>
      <w:r>
        <w:t>1. Obstarávatelia prijmú vhodné, primerané a účinné opatrenia na boj proti podvodom, zvýhodňovaniu, kolúzii a korupcii a na účinnú prevenciu, identifikáciu a nápravu konfliktov záujmov, ktoré vznikajú pri vykonávaní postupov obstarávania a pri plnení verejných zákaziek. Tieto opatrenia musia byť navrhnuté tak, aby sa zabránilo akémukoľvek narušeniu hospodárskej súťaže, zabezpečila transparentnosť postupu a zaručilo rovnaké zaobchádzanie so všetkými hospodárskymi subjektmi s pôvodom v Únii a dotknutými hospodárskymi subjektmi v súlade s článkom 70 ods. 1, ktoré sa zúčastňujú na postupe obstarávania.</w:t>
      </w:r>
    </w:p>
    <w:p>
      <w:r>
        <w:t>2. Na podporu opatrení uvedených v odseku 1 tohto článku obstarávatelia pred zadaním zákazky a v relevantných prípadoch počas plnenia zákazky používajú vhodné nástroje analýzy rizík založené na údajoch, ako je Arachne+ alebo rovnocenný nástroj sprístupnený na vnútroštátnej úrovni, na predchádzanie nezrovnalostiam, podvodom, kolúzii, korupcii a konfliktu záujmov a ich odhaľovanie. Členské štáty zabezpečia, aby nástroje uvedené v prvej vete boli účinne prístupné obstarávateľom a v prípade potreby interoperabilné s národnými dátovými priestormi pre verejné obstarávanie uvedenými v článku 134.</w:t>
      </w:r>
    </w:p>
    <w:p>
      <w:r>
        <w:t>3. Ak sa použitím nástrojov uvedených v odseku 2 tohto článku identifikuje vysokorizikový model vrátane náznakov kolúzie, konfliktov záujmov alebo iných rizík pre integritu, obstarávateľ zaznamená v individuálnej dokumentácii podľa článku 109 primerané opatrenia prijaté na nápravu situácie alebo vysvetlí, prečo sa žiadne takéto opatrenia nepovažovali za potrebné.</w:t>
      </w:r>
    </w:p>
    <w:p>
      <w:r>
        <w:t>Ak v súlade s odsekom 2 tohto článku obstarávateľ zistí vysoké riziko nezrovnalostí, od všetkých zamestnancov verejného obstarávania zapojených do prípravy, hodnotenia alebo zadávania verejnej zákazky sa vyžaduje, aby vyplnili a predložili elektronické vyhlásenie o integrite. Obstarávateľ prijme primerané opatrenia na nápravu akýchkoľvek nezrovnalostí, ktoré zistil a zaznamenal v individuálnej dokumentácii podľa článku 109, ktoré sa týkajú vykonaných následných opatrení.</w:t>
      </w:r>
    </w:p>
    <w:p>
      <w:pPr>
        <w:pStyle w:val="Heading2"/>
        <w:jc w:val="center"/>
      </w:pPr>
      <w:r>
        <w:t>Časť VII</w:t>
      </w:r>
    </w:p>
    <w:p>
      <w:pPr>
        <w:pStyle w:val="Heading2"/>
        <w:jc w:val="center"/>
      </w:pPr>
      <w:r>
        <w:t>Záverečné ustanovenia</w:t>
      </w:r>
    </w:p>
    <w:p>
      <w:pPr>
        <w:pStyle w:val="Heading2"/>
        <w:jc w:val="center"/>
      </w:pPr>
      <w:r>
        <w:t>Hlava I</w:t>
      </w:r>
    </w:p>
    <w:p>
      <w:pPr>
        <w:pStyle w:val="Heading2"/>
        <w:jc w:val="center"/>
      </w:pPr>
      <w:r>
        <w:t>Vykonávanie delegovania právomoci a iné prierezové ustanovenia</w:t>
      </w:r>
    </w:p>
    <w:p>
      <w:pPr>
        <w:pStyle w:val="Heading3"/>
        <w:jc w:val="center"/>
      </w:pPr>
      <w:r>
        <w:t>Článok 141</w:t>
      </w:r>
    </w:p>
    <w:p>
      <w:pPr>
        <w:pStyle w:val="Heading4"/>
        <w:jc w:val="center"/>
      </w:pPr>
      <w:r>
        <w:t>Vykonávanie delegovania právomoci</w:t>
      </w:r>
    </w:p>
    <w:p>
      <w:r>
        <w:t>1. Právomoc prijímať delegované akty sa Komisii udeľuje za podmienok stanovených v tomto článku.</w:t>
      </w:r>
    </w:p>
    <w:p>
      <w:r>
        <w:t>2. Právomoc prijímať delegované akty uvedené v článku 2 ods. 2, článku 7 ods. 5, článku 54 ods. 2 a 4, článku 65 ods. 4, článku 66 ods. 6, článku 69 ods. 4, článku 72 ods. 1, článku 75, článku 110 ods. 6, článku 128 ods. 2, článku 133 ods. 3 a článku 134 ods. 7 sa Komisii udeľuje na dobu neurčitú od... [Úrad pre publikácie, vložte dátum nadobudnutia účinnosti tohto nariadenia].</w:t>
      </w:r>
    </w:p>
    <w:p>
      <w:r>
        <w:t>3. Delegovanie právomoci uvedené v článku 2 ods. 2, článku 7 ods. 5, článku 54 ods. 2 a 4, článku 65 ods. 4, článku 66 ods. 6, článku 69 ods. 4, článku 72 ods. 1, článku 75, článku 110 ods. 6, článku 128 ods. 2, článku 133 ods. 3 a článku 134 ods. 7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p>
      <w:r>
        <w:t>4. Komisia oznamuje delegovaný akt Európskemu parlamentu a Rade súčasne, a to hneď po jeho prijatí.</w:t>
      </w:r>
    </w:p>
    <w:p>
      <w:r>
        <w:t>5. Delegovaný akt prijatý podľa článku 2 ods. 2, článku 7 ods. 5, článku 54 ods. 2 a 4, článku 65 ods. 4, článku 66 ods. 6, článku 69 ods. 4, článku 72 ods. 1, článku 75, článku 110 ods. 6, článku 128 ods. 2, článku 133 ods. 3 a článku 134 ods. 7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p>
      <w:pPr>
        <w:pStyle w:val="Heading3"/>
        <w:jc w:val="center"/>
      </w:pPr>
      <w:r>
        <w:t>Článok 142</w:t>
      </w:r>
    </w:p>
    <w:p>
      <w:pPr>
        <w:pStyle w:val="Heading4"/>
        <w:jc w:val="center"/>
      </w:pPr>
      <w:r>
        <w:t>Zrýchlený postup</w:t>
      </w:r>
    </w:p>
    <w:p>
      <w:r>
        <w:t>1. Delegované akty prijaté podľa tohto článku nadobúdajú účinnosť okamžite a uplatňujú sa, pokiaľ voči nim nie je v súlade s odsekom 2 vznesená námietka. V oznámení delegovaného aktu Európskemu parlamentu a Rade sa uvedú dôvody použitia postupu pre naliehavé prípady.</w:t>
      </w:r>
    </w:p>
    <w:p>
      <w:r>
        <w:t>2. Európsky parlament alebo Rada môžu vzniesť voči delegovanému aktu námietku v súlade s postupom uvedeným v článku 141 ods. 5. V takom prípade Komisia bezodkladne po oznámení rozhodnutia Európskeho parlamentu alebo Rady vzniesť námietku akt zruší.</w:t>
      </w:r>
    </w:p>
    <w:p>
      <w:pPr>
        <w:pStyle w:val="Heading3"/>
        <w:jc w:val="center"/>
      </w:pPr>
      <w:r>
        <w:t>Článok 143</w:t>
      </w:r>
    </w:p>
    <w:p>
      <w:pPr>
        <w:pStyle w:val="Heading4"/>
        <w:jc w:val="center"/>
      </w:pPr>
      <w:r>
        <w:t>Postup vo výbore</w:t>
      </w:r>
    </w:p>
    <w:p>
      <w:r>
        <w:t>1. Komisii pomáha Poradný výbor pre verejné obstarávanie zriadený rozhodnutím Rady 71/306/EHS. Uvedený výbor je výborom v zmysle nariadenia (EÚ) č. 182/2011.</w:t>
      </w:r>
    </w:p>
    <w:p>
      <w:r>
        <w:t>2. V prípade odkazu na tento odsek sa uplatňuje článok 4 nariadenia (EÚ) č. 182/2011.</w:t>
      </w:r>
    </w:p>
    <w:p>
      <w:r>
        <w:t>3. V prípade odkazu na tento odsek sa uplatňuje článok 5 nariadenia (EÚ) č. 182/2011.</w:t>
      </w:r>
    </w:p>
    <w:p>
      <w:pPr>
        <w:pStyle w:val="Heading3"/>
        <w:jc w:val="center"/>
      </w:pPr>
      <w:r>
        <w:t>Článok 144</w:t>
      </w:r>
    </w:p>
    <w:p>
      <w:pPr>
        <w:pStyle w:val="Heading4"/>
        <w:jc w:val="center"/>
      </w:pPr>
      <w:r>
        <w:t>Najvzdialenejšie regióny</w:t>
      </w:r>
    </w:p>
    <w:p>
      <w:r>
        <w:t>Ak osobitné potreby trhov verejného obstarávania najvzdialenejších regiónov Únie v zmysle článku 349 zmluvy nemožno uspokojiť bez úpravy určitých postupov stanovených v tomto nariadení, členské štáty môžu prispôsobiť uplatňovanie osobitných aspektov časti III tohto nariadenia v súlade s medzinárodnými záväzkami Únie a bez toho, aby boli dotknuté zásady rovnakého zaobchádzania, nediskriminácie a transparentnosti. Členské štáty oznámia Komisii a ostatným členským štátom vnútroštátne zákony, iné právne predpisy a správne opatrenia upravujúce takéto úpravy, ako aj ich podrobné odôvodnenie. Príslušné úpravy sa neuplatňujú skôr ako tri mesiace po uvedenom oznámení. Komisia bezodkladne uverejní úpravy v Úradnom vestníku Európskej únie.</w:t>
      </w:r>
    </w:p>
    <w:p>
      <w:pPr>
        <w:pStyle w:val="Heading3"/>
        <w:jc w:val="center"/>
      </w:pPr>
      <w:r>
        <w:t>Článok 145</w:t>
      </w:r>
    </w:p>
    <w:p>
      <w:pPr>
        <w:pStyle w:val="Heading4"/>
        <w:jc w:val="center"/>
      </w:pPr>
      <w:r>
        <w:t>Verejné obstarávanie s podporou Únie</w:t>
      </w:r>
    </w:p>
    <w:p>
      <w:r>
        <w:t>Okrem akýchkoľvek pravidiel stanovených v tomto nariadení obstarávatelia pri zadávaní a plnení zákaziek podporovaných z programu alebo nástroja Únie uplatňujú všetky podmienky potrebné na splnenie požiadaviek na podporu Únie vo všetkých spôsoboch riadenia stanovených v článku 62 nariadenia (EÚ, EURATOM) 2024/2509.</w:t>
      </w:r>
    </w:p>
    <w:p>
      <w:pPr>
        <w:pStyle w:val="Heading2"/>
        <w:jc w:val="center"/>
      </w:pPr>
      <w:r>
        <w:t>Hlava II</w:t>
      </w:r>
    </w:p>
    <w:p>
      <w:pPr>
        <w:pStyle w:val="Heading2"/>
        <w:jc w:val="center"/>
      </w:pPr>
      <w:r>
        <w:t>Zmeny, zrušenia, prechodné ustanovenia, nadobudnutie účinnosti a uplatňovanie</w:t>
      </w:r>
    </w:p>
    <w:p>
      <w:pPr>
        <w:pStyle w:val="Heading3"/>
        <w:jc w:val="center"/>
      </w:pPr>
      <w:r>
        <w:t>Článok 146</w:t>
      </w:r>
    </w:p>
    <w:p>
      <w:pPr>
        <w:pStyle w:val="Heading4"/>
        <w:jc w:val="center"/>
      </w:pPr>
      <w:r>
        <w:t>Zrušenia</w:t>
      </w:r>
    </w:p>
    <w:p>
      <w:r>
        <w:t>1. Smernica 2014/23/EÚ, smernica 2014/24/EÚ a smernica 2014/25/EÚ sa zrušujú.</w:t>
      </w:r>
    </w:p>
    <w:p>
      <w:r>
        <w:t>2. Odkazy na zrušené smernice sa považujú za odkazy na toto nariadenie a znejú v súlade s tabuľkou zhody uvedenou v časti A prílohy VIII.</w:t>
      </w:r>
    </w:p>
    <w:p>
      <w:pPr>
        <w:pStyle w:val="Heading3"/>
        <w:jc w:val="center"/>
      </w:pPr>
      <w:r>
        <w:t>Článok 147</w:t>
      </w:r>
    </w:p>
    <w:p>
      <w:pPr>
        <w:pStyle w:val="Heading4"/>
        <w:jc w:val="center"/>
      </w:pPr>
      <w:r>
        <w:t>Zmeny horizontálnych ustanovení o verejnom obstarávaní</w:t>
      </w:r>
    </w:p>
    <w:p>
      <w:r>
        <w:t>(1) Nariadenie (EÚ) 2024/1781 sa mení takto:</w:t>
      </w:r>
    </w:p>
    <w:p>
      <w:r>
        <w:t>a) Článok 65 sa vypúšťa;</w:t>
      </w:r>
    </w:p>
    <w:p>
      <w:r>
        <w:t>b) V článku 74 ods. 3 sa vypúšťa písmeno b).</w:t>
      </w:r>
    </w:p>
    <w:p>
      <w:r>
        <w:t>Odkazy na článok 65 a článok 74 ods. 3 písm. b) nariadenia 2024/1781 sa považujú za odkazy na článok 54 a článok 26 ods. 1 písm. a) tohto nariadenia;</w:t>
      </w:r>
    </w:p>
    <w:p>
      <w:r>
        <w:t>(2) Článok 25 nariadenia (EÚ) 2024/1735 sa mení takto:</w:t>
      </w:r>
    </w:p>
    <w:p>
      <w:r>
        <w:t>a) Odseky 4 a 5 sa vypúšťajú;</w:t>
      </w:r>
    </w:p>
    <w:p>
      <w:r>
        <w:t>b) dopĺňa sa tento odsek:</w:t>
      </w:r>
    </w:p>
    <w:p>
      <w:r>
        <w:t>„Tento článok sa nevzťahuje na postupy verejného obstarávania emisne neutrálnych technológií, ktoré sa používajú v projekte zadanom na aukcii podľa článku 26.“</w:t>
      </w:r>
    </w:p>
    <w:p>
      <w:r>
        <w:t>Odkazy na článok 25 ods. 4 a 5 nariadenia (EÚ) 2024/1735 sa považujú za odkazy na článok 54 tohto nariadenia;</w:t>
      </w:r>
    </w:p>
    <w:p>
      <w:r>
        <w:t>(3) Článok 85 nariadenia (EÚ) 2023/1542 sa vypúšťa.</w:t>
      </w:r>
    </w:p>
    <w:p>
      <w:r>
        <w:t>Odkazy na článok 85 nariadenia (EÚ) 2023/1542 sa považujú za odkazy na článok 54 tohto nariadenia;</w:t>
      </w:r>
    </w:p>
    <w:p>
      <w:r>
        <w:t>(4) Článok 83 nariadenia (EÚ) 2024/3110 sa vypúšťa.</w:t>
      </w:r>
    </w:p>
    <w:p>
      <w:r>
        <w:t>Odkazy na článok 83 nariadenia (EÚ) 2024/3110 sa považujú za odkazy na článok 54 tohto nariadenia;</w:t>
      </w:r>
    </w:p>
    <w:p>
      <w:r>
        <w:t>(5) Článok 63 nariadenia (EÚ) 2025/40 sa vypúšťa.</w:t>
      </w:r>
    </w:p>
    <w:p>
      <w:r>
        <w:t>Odkazy na článok 63 nariadenia (EÚ) 2025/40 sa považujú za odkazy na článok 54 tohto nariadenia;</w:t>
      </w:r>
    </w:p>
    <w:p>
      <w:r>
        <w:t>(6) Smernica 2023/1791 sa mení takto:</w:t>
      </w:r>
    </w:p>
    <w:p>
      <w:r>
        <w:t>a) Článok 7 sa vypúšťa;</w:t>
      </w:r>
    </w:p>
    <w:p>
      <w:r>
        <w:t>b) Príloha IV sa vypúšťa.</w:t>
      </w:r>
    </w:p>
    <w:p>
      <w:r>
        <w:t>Odkazy na článok 7 a prílohu IV k smernici 2023/1791 sa považujú za odkazy na článok 52 tohto nariadenia;</w:t>
      </w:r>
    </w:p>
    <w:p>
      <w:r>
        <w:t>(7) V článku 11 ods. 1 smernice 2008/98/ES sa vypúšťajú slová „kritériá obstarávania“;</w:t>
      </w:r>
    </w:p>
    <w:p>
      <w:r>
        <w:t>Článku 26 ods. 1 nariadenia (EÚ) 2024/1252 sa písmeno d) nahrádza takto:</w:t>
      </w:r>
    </w:p>
    <w:p>
      <w:r>
        <w:t>zvýšiť využívanie druhotných kritických surovín, a to aj prostredníctvom opatrení, ako je zohľadnenie recyklovaného obsahu vo finančných stimuloch na využívanie druhotných kritických surovín;“</w:t>
      </w:r>
    </w:p>
    <w:p>
      <w:r>
        <w:t>Odkazy na článok 26 ods. 1 písm. d) nariadenia (EÚ) 2024/1252 sa považujú za odkazy na článok 51 tohto nariadenia, pokiaľ sa týkajú kritérií na vyhodnotenie ponúk súvisiacich s verejným obstarávaním;</w:t>
      </w:r>
    </w:p>
    <w:p>
      <w:r>
        <w:t>9. V článku 24 smernice 2019/882 sa vypúšťa odsek 1.</w:t>
      </w:r>
    </w:p>
    <w:p>
      <w:r>
        <w:t>Odkazy na článok 24 ods. 1 smernice 2019/882 sa považujú za odkazy na článok 56 tohto nariadenia;</w:t>
      </w:r>
    </w:p>
    <w:p>
      <w:r>
        <w:t>(10) V článku 8 smernice 2022/2381 sa vypúšťa odsek 3.</w:t>
      </w:r>
    </w:p>
    <w:p>
      <w:r>
        <w:t>Odkazy na článok 8 ods. 3 smernice 2022/2381 sa považujú za odkazy na článok 4 ods. 4 tohto nariadenia;</w:t>
      </w:r>
    </w:p>
    <w:p>
      <w:r>
        <w:t>(11) Článok 5 nariadenia (EÚ) 2024/2847 sa vypúšťa.</w:t>
      </w:r>
    </w:p>
    <w:p>
      <w:r>
        <w:t>Odkazy na článok 5 nariadenia (EÚ) 2024/2847 sa považujú za odkazy na článok 68 tohto nariadenia;</w:t>
      </w:r>
    </w:p>
    <w:p>
      <w:r>
        <w:t>(12) Článok 31 smernice (EÚ) 2024/1760 sa vypúšťa.</w:t>
      </w:r>
    </w:p>
    <w:p>
      <w:r>
        <w:t>Odkazy na článok 31 smernice (EÚ) 2024/1760 sa považujú za odkazy na článok 55 tohto nariadenia;</w:t>
      </w:r>
    </w:p>
    <w:p>
      <w:r>
        <w:t>Článku 63 ods. 3 nariadenia (EÚ) 2024/1157 sa vypúšťa písmeno c).</w:t>
      </w:r>
    </w:p>
    <w:p>
      <w:r>
        <w:t>Odkazy na článok 63 ods. 3 písm. c) nariadenia (EÚ) 2024/1157 sa považujú za odkazy na článok 26 ods. 1 písm. a) tohto nariadenia;</w:t>
      </w:r>
    </w:p>
    <w:p>
      <w:r>
        <w:t>Článku 5 ods. 1 nariadenia (EÚ) 1370/2007 sa dopĺňa tento pododsek:</w:t>
      </w:r>
    </w:p>
    <w:p>
      <w:r>
        <w:t>„Na zmluvy o službách vo verejnom záujme podľa tohto nariadenia sa vzťahujú ustanovenia o ‚bezpečnosti a odolnosti‘ a ‚európskej preferencii‘ stanovené v časti III hlave II kapitolách 4 a 5 z... [Úrad pre publikácie – vložiť číslo tohto nariadenia]“.</w:t>
      </w:r>
    </w:p>
    <w:p>
      <w:pPr>
        <w:pStyle w:val="Heading3"/>
        <w:jc w:val="center"/>
      </w:pPr>
      <w:r>
        <w:t>Článok 148</w:t>
      </w:r>
    </w:p>
    <w:p>
      <w:pPr>
        <w:pStyle w:val="Heading4"/>
        <w:jc w:val="center"/>
      </w:pPr>
      <w:r>
        <w:t>Preskúmanie</w:t>
      </w:r>
    </w:p>
    <w:p>
      <w:r>
        <w:t>1. Každých sedem rokov po... [Úrad pre publikácie: vložiť dátum nadobudnutia účinnosti tohto nariadenia] Komisia vykoná hodnotenie tohto nariadenia.</w:t>
      </w:r>
    </w:p>
    <w:p>
      <w:r>
        <w:t>2. Komisia predloží správu o hlavných zisteniach hodnotenia vykonaného v súlade s odsekom 1 Európskemu parlamentu, Rade, Európskemu hospodárskemu a sociálnemu výboru a Výboru regiónov. Členské štáty poskytnú Komisii informácie potrebné na vypracovanie správy.</w:t>
      </w:r>
    </w:p>
    <w:p>
      <w:pPr>
        <w:pStyle w:val="Heading3"/>
        <w:jc w:val="center"/>
      </w:pPr>
      <w:r>
        <w:t>Článok 149</w:t>
      </w:r>
    </w:p>
    <w:p>
      <w:pPr>
        <w:pStyle w:val="Heading4"/>
        <w:jc w:val="center"/>
      </w:pPr>
      <w:r>
        <w:t>Nadobudnutie účinnosti a uplatňovanie</w:t>
      </w:r>
    </w:p>
    <w:p>
      <w:r>
        <w:t>Toto nariadenie nadobúda účinnosť dvadsiatym dňom po jeho uverejnení v Úradnom vestníku Európskej únie.</w:t>
      </w:r>
    </w:p>
    <w:p>
      <w:r>
        <w:t>Uplatňuje sa od... [Úrad pre publikácie: vložiť dátum dva roky po nadobudnutí účinnosti tohto nariadenia].</w:t>
      </w:r>
    </w:p>
    <w:p>
      <w:r>
        <w:t>Toto nariadenie je záväzné v celom rozsahu a priamo uplatniteľné vo všetkých členských štátoch.</w:t>
      </w:r>
    </w:p>
    <w:p>
      <w:r>
        <w:t>V Bruseli</w:t>
      </w:r>
    </w:p>
    <w:p>
      <w:r>
        <w:t>Za Európsky parlament Za Radu</w:t>
      </w:r>
    </w:p>
    <w:p>
      <w:r>
        <w:t>Ú. v. EÚ C, s..</w:t>
      </w:r>
    </w:p>
    <w:p>
      <w:r>
        <w:t>[...] [...] [...]</w:t>
      </w:r>
    </w:p>
    <w:p>
      <w:pPr>
        <w:pStyle w:val="Heading3"/>
        <w:jc w:val="center"/>
      </w:pPr>
      <w:r>
        <w:t>LEGISLATÍVNY FINANČNÝ A DIGITÁLNY VÝKAZ</w:t>
      </w:r>
    </w:p>
    <w:p>
      <w:r>
        <w:t>1. FRAMEWORKOFTHEPROPOSAL/INICIATÍVA</w:t>
      </w:r>
    </w:p>
    <w:p>
      <w:r>
        <w:t>1.1. Názov návrhu/iniciatívy</w:t>
      </w:r>
    </w:p>
    <w:p>
      <w:r>
        <w:t>Nariadenie Európskeho parlamentu a Rady o verejných zákazkách a koncesiách, ktorým sa zrušuje smernica 2014/23/EÚ, smernica 2014/24/EÚ a smernica 2014/25/EÚ a ktorým sa mení nariadenie (EÚ) 2024/1157, nariadenie (EÚ) 2024/1781, nariadenie (EÚ) 2024/3110, nariadenie (EÚ) 2023/1542, nariadenie</w:t>
      </w:r>
    </w:p>
    <w:p>
      <w:r>
        <w:t>(EÚ) 2025/40, smernica (EÚ) 2023/1791, smernica (EÚ) 2024/1760, smernica 2008/98/ES, nariadenie (EÚ) 2024/1252, smernica (EÚ) 2019/882, smernica (EÚ) 2022/2381, nariadenie (EÚ) 2024/1735 a nariadenie (EÚ) 2024/2847.</w:t>
      </w:r>
    </w:p>
    <w:p>
      <w:r>
        <w:t>1.2. Oblasť politiky:</w:t>
      </w:r>
    </w:p>
    <w:p>
      <w:r>
        <w:t>Verejné obstarávanie; Vnútorný trh, Komunikačné siete, obsah a technológie</w:t>
      </w:r>
    </w:p>
    <w:p>
      <w:r>
        <w:t>1.3. Cieľ (ciele)</w:t>
      </w:r>
    </w:p>
    <w:p>
      <w:r>
        <w:t>1.3.1. Všeobecný(-é) cieľ(-le)</w:t>
      </w:r>
    </w:p>
    <w:p>
      <w:r>
        <w:t>Všeobecnými cieľmi je urobiť z verejného obstarávania efektívnejší nástroj verejných investícií podporujúci politické ciele, najmä integráciu jednotného trhu, strategickú hospodársku autonómiu, sociálnu a ekologickú udržateľnosť a inovácie. Všeobecné ciele prispievajú k dosiahnutiu cieľov udržateľného rozvoja, najmä cieľa č. 9 Priemysel, inovácie a infraštruktúra, cieľa č. #12 Zodpovedná spotreba a výroba a cieľa č. 8 Dôstojná práca a hospodársky rast.</w:t>
      </w:r>
    </w:p>
    <w:p>
      <w:r>
        <w:t>1.3.2. Špecifický(-é) cieľ(-le)</w:t>
      </w:r>
    </w:p>
    <w:p>
      <w:r>
        <w:t>Zo všeobecných cieľov boli odvodené štyri konkrétne ciele, ktoré poskytujú praktické podrobnosti o tom, ako sa tieto ciele dosiahnu.</w:t>
      </w:r>
    </w:p>
    <w:p>
      <w:r>
        <w:t>Osobitný cieľ č. 1:</w:t>
      </w:r>
    </w:p>
    <w:p>
      <w:r>
        <w:t>Zjednodušiť a podporiť flexibilitu postupov verejného obstarávania a zvýšiť právnu zrozumiteľnosť a súdržnosť uplatniteľných pravidiel s cieľom uľahčiť postupy verejného obstarávania a prístup k nim pre hospodárske subjekty na celom jednotnom trhu vrátane MSP.</w:t>
      </w:r>
    </w:p>
    <w:p>
      <w:r>
        <w:t>Konkrétny cieľ č. 2:</w:t>
      </w:r>
    </w:p>
    <w:p>
      <w:r>
        <w:t>Zvýšiť využívanie environmentálneho, sociálneho a inovačného verejného obstarávania na podporu strategických politických cieľov Únie a poskytnúť v tejto súvislosti súdržnejší právny rámec.</w:t>
      </w:r>
    </w:p>
    <w:p>
      <w:r>
        <w:t>Konkrétny cieľ č. 3:</w:t>
      </w:r>
    </w:p>
    <w:p>
      <w:r>
        <w:t>Zlepšiť hospodársku bezpečnosť a strategickú autonómiu EÚ v oblasti verejného obstarávania a podporovať v tejto súvislosti súdržný právny rámec.</w:t>
      </w:r>
    </w:p>
    <w:p>
      <w:r>
        <w:t>Konkrétny cieľ č. 4:</w:t>
      </w:r>
    </w:p>
    <w:p>
      <w:r>
        <w:t>Uľahčiť prístup k informáciám, údajom a IT riešeniam v oblasti verejného obstarávania s cieľom znížiť administratívnu záťaž a zvýšiť transparentnosť a monitorovanie, a tým predchádzať neregulárnym praktikám a znižovať ich a umožniť rozhodovanie pri tvorbe politík.</w:t>
      </w:r>
    </w:p>
    <w:p>
      <w:r>
        <w:t>1.3.3. Očakávané výsledky a vplyv</w:t>
      </w:r>
    </w:p>
    <w:p>
      <w:r>
        <w:t>Uveďte, aký vplyv by mal mať návrh/iniciatíva na</w:t>
      </w:r>
    </w:p>
    <w:p>
      <w:r>
        <w:t>príjemcovia/cieľové skupiny.</w:t>
      </w:r>
    </w:p>
    <w:p>
      <w:r>
        <w:t>Očakáva sa, že toto nariadenie prinesie niekoľko pozitívnych výsledkov pre tri hlavné zainteresované strany súvisiace s verejným obstarávaním, konkrétne tvorcov politík, obstarávateľov a hospodárske subjekty. Hlavnými očakávanými výsledkami sú ľahší prístup k rokovaniam, vyššia úroveň hospodárskej súťaže a zníženie administratívnej záťaže.</w:t>
      </w:r>
    </w:p>
    <w:p>
      <w:r>
        <w:t>1.3.4. Ukazovatele výkonnosti</w:t>
      </w:r>
    </w:p>
    <w:p>
      <w:r>
        <w:t>Uveďte ukazovatele na monitorovanie pokroku a dosiahnutých výsledkov</w:t>
      </w:r>
    </w:p>
    <w:p>
      <w:r>
        <w:t>Monitorovanie a</w:t>
      </w:r>
    </w:p>
    <w:p>
      <w:r>
        <w:t>hodnotiaci aspekt Zodpovednosť za</w:t>
      </w:r>
    </w:p>
    <w:p>
      <w:r>
        <w:t>Ukazovateľ (ukazovatele) Zdroj (zdroje)</w:t>
      </w:r>
    </w:p>
    <w:p>
      <w:r>
        <w:t>a príslušná zbierka</w:t>
      </w:r>
    </w:p>
    <w:p>
      <w:r>
        <w:t>ciele</w:t>
      </w:r>
    </w:p>
    <w:p>
      <w:r>
        <w:t>Špecifický cieľ 1: Zjednodušiť pravidlá a postupy verejného obstarávania, zvýšiť ich flexibilitu a súdržnosť</w:t>
      </w:r>
    </w:p>
    <w:p>
      <w:r>
        <w:t>Dĺžka</w:t>
      </w:r>
    </w:p>
    <w:p>
      <w:r>
        <w:t>postupy v dňoch počítaných od uverejnenia oznámenia o vyhlásení verejného obstarávania do zadania zákazky;</w:t>
      </w:r>
    </w:p>
    <w:p>
      <w:r>
        <w:t>Jednotný trh a</w:t>
      </w:r>
    </w:p>
    <w:p>
      <w:r>
        <w:t>Má verejnosť</w:t>
      </w:r>
    </w:p>
    <w:p>
      <w:r>
        <w:t>Dĺžka</w:t>
      </w:r>
    </w:p>
    <w:p>
      <w:r>
        <w:t>Konkurencieschopnosť</w:t>
      </w:r>
    </w:p>
    <w:p>
      <w:r>
        <w:t>obstarávanie</w:t>
      </w:r>
    </w:p>
    <w:p>
      <w:r>
        <w:t>postupy v dňoch</w:t>
      </w:r>
    </w:p>
    <w:p>
      <w:r>
        <w:t>Porovnávací prehľad;</w:t>
      </w:r>
    </w:p>
    <w:p>
      <w:r>
        <w:t>rámec sa stal európskym</w:t>
      </w:r>
    </w:p>
    <w:p>
      <w:r>
        <w:t>počítajúc od</w:t>
      </w:r>
    </w:p>
    <w:p>
      <w:r>
        <w:t>jednoduchšie, dátový priestor Komisie pre verejné obstarávanie;</w:t>
      </w:r>
    </w:p>
    <w:p>
      <w:r>
        <w:t>moment</w:t>
      </w:r>
    </w:p>
    <w:p>
      <w:r>
        <w:t>flexibilný a</w:t>
      </w:r>
    </w:p>
    <w:p>
      <w:r>
        <w:t>uverejnenie nových IT nástrojov a</w:t>
      </w:r>
    </w:p>
    <w:p>
      <w:r>
        <w:t>súvislý?</w:t>
      </w:r>
    </w:p>
    <w:p>
      <w:r>
        <w:t>plánované systémy oznámení o vyhlásení verejného obstarávania</w:t>
      </w:r>
    </w:p>
    <w:p>
      <w:r>
        <w:t>do podpisu zmluvy;</w:t>
      </w:r>
    </w:p>
    <w:p>
      <w:r>
        <w:t>Miera zrušenia;</w:t>
      </w:r>
    </w:p>
    <w:p>
      <w:r>
        <w:t>Podiel</w:t>
      </w:r>
    </w:p>
    <w:p>
      <w:r>
        <w:t>postupy využívajúce</w:t>
      </w:r>
    </w:p>
    <w:p>
      <w:r>
        <w:t>rokovania</w:t>
      </w:r>
    </w:p>
    <w:p>
      <w:r>
        <w:t>Špecifický cieľ 2: Zvýšiť využívanie environmentálneho, sociálneho a inovačného verejného obstarávania</w:t>
      </w:r>
    </w:p>
    <w:p>
      <w:r>
        <w:t>Európska</w:t>
      </w:r>
    </w:p>
    <w:p>
      <w:r>
        <w:t>Má počet podielov na jednotnom trhu a</w:t>
      </w:r>
    </w:p>
    <w:p>
      <w:r>
        <w:t>Komisia</w:t>
      </w:r>
    </w:p>
    <w:p>
      <w:r>
        <w:t>postupy, ktoré sa uplatňujú (hodnotová konkurencieschopnosť)</w:t>
      </w:r>
    </w:p>
    <w:p>
      <w:r>
        <w:t>Monitorovanie a</w:t>
      </w:r>
    </w:p>
    <w:p>
      <w:r>
        <w:t>hodnotiaci aspekt Zodpovednosť za</w:t>
      </w:r>
    </w:p>
    <w:p>
      <w:r>
        <w:t>Ukazovateľ (ukazovatele) Zdroj (zdroje)</w:t>
      </w:r>
    </w:p>
    <w:p>
      <w:r>
        <w:t>a príslušná zbierka</w:t>
      </w:r>
    </w:p>
    <w:p>
      <w:r>
        <w:t>ciele</w:t>
      </w:r>
    </w:p>
    <w:p>
      <w:r>
        <w:t>zahrnúť a spočítať) túto hodnotiacu tabuľku;</w:t>
      </w:r>
    </w:p>
    <w:p>
      <w:r>
        <w:t>environmentálne, vrátane</w:t>
      </w:r>
    </w:p>
    <w:p>
      <w:r>
        <w:t>PPD;</w:t>
      </w:r>
    </w:p>
    <w:p>
      <w:r>
        <w:t>sociálne a environmentálne,</w:t>
      </w:r>
    </w:p>
    <w:p>
      <w:r>
        <w:t>Nové IT nástroje a</w:t>
      </w:r>
    </w:p>
    <w:p>
      <w:r>
        <w:t>sociálne inovácie a</w:t>
      </w:r>
    </w:p>
    <w:p>
      <w:r>
        <w:t>plánované systémy</w:t>
      </w:r>
    </w:p>
    <w:p>
      <w:r>
        <w:t>inovácia prvkov</w:t>
      </w:r>
    </w:p>
    <w:p>
      <w:r>
        <w:t>zvýšenie? verejného obstarávania/podielu postupov BPQR;</w:t>
      </w:r>
    </w:p>
    <w:p>
      <w:r>
        <w:t>Podiel</w:t>
      </w:r>
    </w:p>
    <w:p>
      <w:r>
        <w:t>environmentálne obstarávanie s použitím environmentálnej značky EÚ</w:t>
      </w:r>
    </w:p>
    <w:p>
      <w:r>
        <w:t>Špecifický cieľ 3: Zlepšiť hospodársku bezpečnosť a strategickú autonómiu EÚ v oblasti verejného obstarávania</w:t>
      </w:r>
    </w:p>
    <w:p>
      <w:r>
        <w:t>Podiel</w:t>
      </w:r>
    </w:p>
    <w:p>
      <w:r>
        <w:t>účasť</w:t>
      </w:r>
    </w:p>
    <w:p>
      <w:r>
        <w:t>Jednotný trh a</w:t>
      </w:r>
    </w:p>
    <w:p>
      <w:r>
        <w:t>tretia krajina</w:t>
      </w:r>
    </w:p>
    <w:p>
      <w:r>
        <w:t>Má EÚ</w:t>
      </w:r>
    </w:p>
    <w:p>
      <w:r>
        <w:t>Konkurencieschopnosť</w:t>
      </w:r>
    </w:p>
    <w:p>
      <w:r>
        <w:t>prevádzkovatelia (priami +</w:t>
      </w:r>
    </w:p>
    <w:p>
      <w:r>
        <w:t>hospodárska bezpečnosť</w:t>
      </w:r>
    </w:p>
    <w:p>
      <w:r>
        <w:t>Porovnávací prehľad;</w:t>
      </w:r>
    </w:p>
    <w:p>
      <w:r>
        <w:t>nepriame);</w:t>
      </w:r>
    </w:p>
    <w:p>
      <w:r>
        <w:t>a strategický európsky</w:t>
      </w:r>
    </w:p>
    <w:p>
      <w:r>
        <w:t>autonómia verejného dátového priestoru pre verejné obstarávanie Komisie;</w:t>
      </w:r>
    </w:p>
    <w:p>
      <w:r>
        <w:t>Podiel pôvodu v EÚ</w:t>
      </w:r>
    </w:p>
    <w:p>
      <w:r>
        <w:t>obstarávanie</w:t>
      </w:r>
    </w:p>
    <w:p>
      <w:r>
        <w:t>obstaraného tovaru</w:t>
      </w:r>
    </w:p>
    <w:p>
      <w:r>
        <w:t>Nové IT nástroje a</w:t>
      </w:r>
    </w:p>
    <w:p>
      <w:r>
        <w:t>zlepšila sa?</w:t>
      </w:r>
    </w:p>
    <w:p>
      <w:r>
        <w:t>vo vybraných sektoroch</w:t>
      </w:r>
    </w:p>
    <w:p>
      <w:r>
        <w:t>plánované systémy</w:t>
      </w:r>
    </w:p>
    <w:p>
      <w:r>
        <w:t>(chápané ako v CKÚ)</w:t>
      </w:r>
    </w:p>
    <w:p>
      <w:r>
        <w:t>Špecifický cieľ 4: Uľahčenie prístupu k informáciám, údajom a IT nástrojom v oblasti verejného obstarávania</w:t>
      </w:r>
    </w:p>
    <w:p>
      <w:r>
        <w:t>Miera transparentnosti</w:t>
      </w:r>
    </w:p>
    <w:p>
      <w:r>
        <w:t>Jednotný trh a</w:t>
      </w:r>
    </w:p>
    <w:p>
      <w:r>
        <w:t>(napr. % HDP)</w:t>
      </w:r>
    </w:p>
    <w:p>
      <w:r>
        <w:t>Konkurencieschopnosť</w:t>
      </w:r>
    </w:p>
    <w:p>
      <w:r>
        <w:t>uverejnené v</w:t>
      </w:r>
    </w:p>
    <w:p>
      <w:r>
        <w:t>Má prístup k</w:t>
      </w:r>
    </w:p>
    <w:p>
      <w:r>
        <w:t>Porovnávací prehľad;</w:t>
      </w:r>
    </w:p>
    <w:p>
      <w:r>
        <w:t>TED/MPL);</w:t>
      </w:r>
    </w:p>
    <w:p>
      <w:r>
        <w:t>informácie o európskych</w:t>
      </w:r>
    </w:p>
    <w:p>
      <w:r>
        <w:t>verejné obstarávanie Komisie pre verejné obstarávanie;</w:t>
      </w:r>
    </w:p>
    <w:p>
      <w:r>
        <w:t>Prístupnosť a</w:t>
      </w:r>
    </w:p>
    <w:p>
      <w:r>
        <w:t>zlepšila sa?</w:t>
      </w:r>
    </w:p>
    <w:p>
      <w:r>
        <w:t>možnosť vyhľadávania</w:t>
      </w:r>
    </w:p>
    <w:p>
      <w:r>
        <w:t>Nové IT nástroje a</w:t>
      </w:r>
    </w:p>
    <w:p>
      <w:r>
        <w:t>databázy;</w:t>
      </w:r>
    </w:p>
    <w:p>
      <w:r>
        <w:t>plánované systémy</w:t>
      </w:r>
    </w:p>
    <w:p>
      <w:r>
        <w:t>Kvalita údajov (napr.</w:t>
      </w:r>
    </w:p>
    <w:p>
      <w:r>
        <w:t>Monitorovanie a</w:t>
      </w:r>
    </w:p>
    <w:p>
      <w:r>
        <w:t>hodnotiaci aspekt Zodpovednosť za</w:t>
      </w:r>
    </w:p>
    <w:p>
      <w:r>
        <w:t>Ukazovateľ (ukazovatele) Zdroj (zdroje)</w:t>
      </w:r>
    </w:p>
    <w:p>
      <w:r>
        <w:t>a príslušná zbierka</w:t>
      </w:r>
    </w:p>
    <w:p>
      <w:r>
        <w:t>ciele</w:t>
      </w:r>
    </w:p>
    <w:p>
      <w:r>
        <w:t>úplnosť</w:t>
      </w:r>
    </w:p>
    <w:p>
      <w:r>
        <w:t>poskytnuté údaje);</w:t>
      </w:r>
    </w:p>
    <w:p>
      <w:r>
        <w:t>Integrácia údajov</w:t>
      </w:r>
    </w:p>
    <w:p>
      <w:r>
        <w:t>s inými</w:t>
      </w:r>
    </w:p>
    <w:p>
      <w:r>
        <w:t>databázy (napr.</w:t>
      </w:r>
    </w:p>
    <w:p>
      <w:r>
        <w:t>obchodný register, daňový register)</w:t>
      </w:r>
    </w:p>
    <w:p>
      <w:r>
        <w:t>Všeobecné ciele</w:t>
      </w:r>
    </w:p>
    <w:p>
      <w:r>
        <w:t>Podiel</w:t>
      </w:r>
    </w:p>
    <w:p>
      <w:r>
        <w:t>postupy (hodnota a počet), ktoré</w:t>
      </w:r>
    </w:p>
    <w:p>
      <w:r>
        <w:t>Pre verejnosť</w:t>
      </w:r>
    </w:p>
    <w:p>
      <w:r>
        <w:t>zahrnúť</w:t>
      </w:r>
    </w:p>
    <w:p>
      <w:r>
        <w:t>kupujúci:</w:t>
      </w:r>
    </w:p>
    <w:p>
      <w:r>
        <w:t>environmentálnych,</w:t>
      </w:r>
    </w:p>
    <w:p>
      <w:r>
        <w:t>Jednotný trh a</w:t>
      </w:r>
    </w:p>
    <w:p>
      <w:r>
        <w:t>Uľahčiť verejné sociálne a</w:t>
      </w:r>
    </w:p>
    <w:p>
      <w:r>
        <w:t>Konkurencieschopnosť</w:t>
      </w:r>
    </w:p>
    <w:p>
      <w:r>
        <w:t>inovácie v oblasti verejného obstarávania</w:t>
      </w:r>
    </w:p>
    <w:p>
      <w:r>
        <w:t>Porovnávací prehľad;</w:t>
      </w:r>
    </w:p>
    <w:p>
      <w:r>
        <w:t>Európska</w:t>
      </w:r>
    </w:p>
    <w:p>
      <w:r>
        <w:t>procesy a obstarávanie;</w:t>
      </w:r>
    </w:p>
    <w:p>
      <w:r>
        <w:t>Dátový priestor Komisie pre verejné obstarávanie;</w:t>
      </w:r>
    </w:p>
    <w:p>
      <w:r>
        <w:t>vykonávanie</w:t>
      </w:r>
    </w:p>
    <w:p>
      <w:r>
        <w:t>Počet prvých</w:t>
      </w:r>
    </w:p>
    <w:p>
      <w:r>
        <w:t>strategické</w:t>
      </w:r>
    </w:p>
    <w:p>
      <w:r>
        <w:t>Nové IT nástroje a</w:t>
      </w:r>
    </w:p>
    <w:p>
      <w:r>
        <w:t>verejná inštancia</w:t>
      </w:r>
    </w:p>
    <w:p>
      <w:r>
        <w:t>ciele,</w:t>
      </w:r>
    </w:p>
    <w:p>
      <w:r>
        <w:t>plánované systémy</w:t>
      </w:r>
    </w:p>
    <w:p>
      <w:r>
        <w:t>obstarávanie</w:t>
      </w:r>
    </w:p>
    <w:p>
      <w:r>
        <w:t>zlepšiť právne</w:t>
      </w:r>
    </w:p>
    <w:p>
      <w:r>
        <w:t>preskúmavať rozhodnutia v</w:t>
      </w:r>
    </w:p>
    <w:p>
      <w:r>
        <w:t>istota</w:t>
      </w:r>
    </w:p>
    <w:p>
      <w:r>
        <w:t>vzťah k počtu výziev na súťaž</w:t>
      </w:r>
    </w:p>
    <w:p>
      <w:r>
        <w:t>Počet ponúk na jeden postup obstarávania;</w:t>
      </w:r>
    </w:p>
    <w:p>
      <w:r>
        <w:t>Počet</w:t>
      </w:r>
    </w:p>
    <w:p>
      <w:r>
        <w:t>Pre hospodárstvo</w:t>
      </w:r>
    </w:p>
    <w:p>
      <w:r>
        <w:t>Jednotný trh a</w:t>
      </w:r>
    </w:p>
    <w:p>
      <w:r>
        <w:t>udelené zákazky</w:t>
      </w:r>
    </w:p>
    <w:p>
      <w:r>
        <w:t>operátori</w:t>
      </w:r>
    </w:p>
    <w:p>
      <w:r>
        <w:t>Konkurencieschopnosť</w:t>
      </w:r>
    </w:p>
    <w:p>
      <w:r>
        <w:t>k hospodárskej</w:t>
      </w:r>
    </w:p>
    <w:p>
      <w:r>
        <w:t>Uľahčiť prístup k hodnotiacej tabuľke;</w:t>
      </w:r>
    </w:p>
    <w:p>
      <w:r>
        <w:t>prevádzkovateľ v Európe</w:t>
      </w:r>
    </w:p>
    <w:p>
      <w:r>
        <w:t>verejného obstarávania</w:t>
      </w:r>
    </w:p>
    <w:p>
      <w:r>
        <w:t>rôzne členské štáty; Dátový priestor Komisie pre verejné obstarávanie;</w:t>
      </w:r>
    </w:p>
    <w:p>
      <w:r>
        <w:t>(aj cezhraničná)</w:t>
      </w:r>
    </w:p>
    <w:p>
      <w:r>
        <w:t>Počet nových nástrojov IT a</w:t>
      </w:r>
    </w:p>
    <w:p>
      <w:r>
        <w:t>pre podniky EÚ,</w:t>
      </w:r>
    </w:p>
    <w:p>
      <w:r>
        <w:t>zmluvy vrátane plánovaných systémov</w:t>
      </w:r>
    </w:p>
    <w:p>
      <w:r>
        <w:t>vrátane MSP</w:t>
      </w:r>
    </w:p>
    <w:p>
      <w:r>
        <w:t>subdodávateľ</w:t>
      </w:r>
    </w:p>
    <w:p>
      <w:r>
        <w:t>z iného členského štátu;</w:t>
      </w:r>
    </w:p>
    <w:p>
      <w:r>
        <w:t>Monitorovanie a</w:t>
      </w:r>
    </w:p>
    <w:p>
      <w:r>
        <w:t>hodnotiaci aspekt Zodpovednosť za</w:t>
      </w:r>
    </w:p>
    <w:p>
      <w:r>
        <w:t>Ukazovateľ (ukazovatele) Zdroj (zdroje)</w:t>
      </w:r>
    </w:p>
    <w:p>
      <w:r>
        <w:t>a príslušná zbierka</w:t>
      </w:r>
    </w:p>
    <w:p>
      <w:r>
        <w:t>ciele</w:t>
      </w:r>
    </w:p>
    <w:p>
      <w:r>
        <w:t>Počet</w:t>
      </w:r>
    </w:p>
    <w:p>
      <w:r>
        <w:t>zákazky zadávané MSP</w:t>
      </w:r>
    </w:p>
    <w:p>
      <w:r>
        <w:t>Náklady na jeden postup (pre obstarávateľov);</w:t>
      </w:r>
    </w:p>
    <w:p>
      <w:r>
        <w:t>Náklady na postup (pre hospodárske subjekty);</w:t>
      </w:r>
    </w:p>
    <w:p>
      <w:r>
        <w:t>Dĺžka</w:t>
      </w:r>
    </w:p>
    <w:p>
      <w:r>
        <w:t>Horizontálne</w:t>
      </w:r>
    </w:p>
    <w:p>
      <w:r>
        <w:t>postup od</w:t>
      </w:r>
    </w:p>
    <w:p>
      <w:r>
        <w:t>Obmedziť plánovanie dovtedy, kým</w:t>
      </w:r>
    </w:p>
    <w:p>
      <w:r>
        <w:t>Jednotný trh a</w:t>
      </w:r>
    </w:p>
    <w:p>
      <w:r>
        <w:t>administratívne zadanie</w:t>
      </w:r>
    </w:p>
    <w:p>
      <w:r>
        <w:t>Konkurencieschopnosť</w:t>
      </w:r>
    </w:p>
    <w:p>
      <w:r>
        <w:t>zaťaženie, zvýšenie počtu zmlúv;</w:t>
      </w:r>
    </w:p>
    <w:p>
      <w:r>
        <w:t>Porovnávací prehľad;</w:t>
      </w:r>
    </w:p>
    <w:p>
      <w:r>
        <w:t>Európska</w:t>
      </w:r>
    </w:p>
    <w:p>
      <w:r>
        <w:t>transparentnosť,</w:t>
      </w:r>
    </w:p>
    <w:p>
      <w:r>
        <w:t>Počet</w:t>
      </w:r>
    </w:p>
    <w:p>
      <w:r>
        <w:t>Dátový priestor Komisie pre verejné obstarávanie;</w:t>
      </w:r>
    </w:p>
    <w:p>
      <w:r>
        <w:t>uľahčiť</w:t>
      </w:r>
    </w:p>
    <w:p>
      <w:r>
        <w:t>hospodárskych subjektov</w:t>
      </w:r>
    </w:p>
    <w:p>
      <w:r>
        <w:t>monitorovanie do</w:t>
      </w:r>
    </w:p>
    <w:p>
      <w:r>
        <w:t>Nové IT nástroje a</w:t>
      </w:r>
    </w:p>
    <w:p>
      <w:r>
        <w:t>používanie digitálnych</w:t>
      </w:r>
    </w:p>
    <w:p>
      <w:r>
        <w:t>vyhnúť sa nezrovnalostiam</w:t>
      </w:r>
    </w:p>
    <w:p>
      <w:r>
        <w:t>plánované systémy</w:t>
      </w:r>
    </w:p>
    <w:p>
      <w:r>
        <w:t>nástroje;</w:t>
      </w:r>
    </w:p>
    <w:p>
      <w:r>
        <w:t>a umožniť politické rozhodnutia Počet verejných</w:t>
      </w:r>
    </w:p>
    <w:p>
      <w:r>
        <w:t>kupujúci, ktorí používajú digitálne nástroje;</w:t>
      </w:r>
    </w:p>
    <w:p>
      <w:r>
        <w:t>Miera zrušenia; Podiel postupov využívajúcich rokovanie</w:t>
      </w:r>
    </w:p>
    <w:p>
      <w:r>
        <w:t>1.4. Návrh/iniciatíva sa týka:</w:t>
      </w:r>
    </w:p>
    <w:p>
      <w:r>
        <w:t>☑ novej akcie</w:t>
      </w:r>
    </w:p>
    <w:p>
      <w:r>
        <w:t>☐ novej akcie, ktorá nadväzuje na pilotný projekt/prípravnú akciu[1]</w:t>
      </w:r>
    </w:p>
    <w:p>
      <w:r>
        <w:t>☐ predĺženia trvania existujúcej akcie</w:t>
      </w:r>
    </w:p>
    <w:p>
      <w:r>
        <w:t>☐ zlúčenia jednej alebo viacerých akcií do ďalšej/novej akcie alebo presmerovania jednej alebo viacerých akcií na ďalšiu/novú akciu</w:t>
      </w:r>
    </w:p>
    <w:p>
      <w:r>
        <w:t>1.5. Dôvody návrhu/iniciatívy</w:t>
      </w:r>
    </w:p>
    <w:p>
      <w:r>
        <w:t>1.5.1. Požiadavky, ktoré sa majú splniť v krátkodobom alebo dlhodobom horizonte vrátane podrobného harmonogramu prvotnej fázy vykonávania iniciatívy</w:t>
      </w:r>
    </w:p>
    <w:p>
      <w:r>
        <w:t>Cieľom tohto nariadenia je zjednodušiť celý trh verejného obstarávania. To zahŕňa digitálny ekosystém verejného obstarávania. Vyžaduje sa v ňom, aby poskytovatelia služieb elektronického obstarávania zabezpečili interoperabilitu svojich služieb v súlade s pripravovanými normami. Okrem toho sa v ňom nariadi, aby členské štáty integrovali a prepojili svoj nástroj digitálnych podnikových dokladov s elektronickou službou oprávnenosti a s ich príslušnými vnútroštátnymi registrami. Hospodárskym subjektom to umožní v plnej miere využívať digitálny nástroj na získanie obchodného certifikátu. Od členských štátov sa bude takisto vyžadovať, aby zriadili a pripojili svoje vnútroštátne dátové priestory pre verejné obstarávanie k výmene údajov v dátovom priestore pre verejné obstarávanie.</w:t>
      </w:r>
    </w:p>
    <w:p>
      <w:r>
        <w:t>1.5.2. Prínos zapojenia Európskej únie (môže byť výsledkom rôznych faktorov, napr. lepšej koordinácie, právnej istoty, väčšej účinnosti alebo komplementárnosti). Na účely tohto bodu je „prínos zapojenia Európskej únie“ hodnota vyplývajúca zo zásahu Európskej únie, ktorá dopĺňa hodnotu, ktorú by inak vytvorili len samotné členské štáty.</w:t>
      </w:r>
    </w:p>
    <w:p>
      <w:r>
        <w:t>Dôvody na akciu na úrovni EÚ (ex ante)</w:t>
      </w:r>
    </w:p>
    <w:p>
      <w:r>
        <w:t>Hoci sa za posledných 50 rokov vyvinulo značné úsilie, jednotný trh verejného obstarávania sa ešte nedosiahol. Fragmentácia pretrváva vo forme rozdielnych politických prístupov v rámci iniciatív, tzv. gold-platingu na úrovni členských štátov a využívania rôznych digitálnych nástrojov a platforiem. Vďaka týmto otázkam je súčasný rámec EÚ pre verejné obstarávanie oblasťou vnímanej administratívnej záťaže a byrokracie, a nie nástrojom udržateľného hospodárskeho rastu. Na posilnenie verejného obstarávania ako hnacej sily konkurencieschopnosti a efektívnych a účinných verejných investícií, ako aj na podporu politických cieľov EÚ sú potrebné opatrenia na úrovni EÚ. Zjednodušenie rámca EÚ pre verejné obstarávanie a vykonávanie strategických cieľov je možné len prostredníctvom opatrení EÚ, ktorými sa zabezpečí konzistentná zmena vo všetkých členských štátoch. Nečinnosťou na úrovni EÚ by sa zachovala neefektívnosť systému a obstarávateľom by sa zabránilo rýchlejšie a strategicky uspokojovať ich potreby a hospodárskym subjektom by sa bránilo v prístupe k verejným zákazkám na celom jednotnom trhu. Súdržný právny rámec pre verejné obstarávanie možno dosiahnuť len na úrovni EÚ. Okrem toho, ak EÚ neprijme žiadne opatrenia, právne predpisy EÚ v oblasti verejného obstarávania budú naďalej zaostávať v kľúčových strategických aspektoch, ako je pokrok v oblasti udržateľnosti, podpora odolných dodávateľských reťazcov alebo zabezpečenie strategickej autonómie EÚ. Podobne by boli obmedzené aj spoločné investície do strategických odvetví, zatiaľ čo koordinované opatrenia umožnia lepšie využívanie dopytu. Napokon, nedostatok opatrení EÚ takisto vytvára premárnenú príležitosť, keďže právne predpisy sa stávajú zastaranými vzhľadom na súčasný vývoj (napr. urýchlenie digitálnej zmeny a hyperkonektivita) a vyvíjajúce sa hrozby. (napr. zmena bezpečnostných paradigiem).</w:t>
      </w:r>
    </w:p>
    <w:p>
      <w:r>
        <w:t>Očakávaný prínos vytvorený EÚ (ex post)</w:t>
      </w:r>
    </w:p>
    <w:p>
      <w:r>
        <w:t>Cieľom návrhu je zmeniť právne predpisy EÚ, ktoré sa priamo dotýkajú trhu verejného obstarávania v celej EÚ. To isté nebolo možné dosiahnuť na úrovni členských štátov, najmä vzhľadom na potrebu zabezpečiť harmonizovaný prístup vo všetkých členských štátoch, keďže takýto prístup má zásadný význam pre účinné zjednodušenie. Opatrenia na úrovni EÚ majú veľkú pridanú hodnotu, pretože problémy, ktoré sa týmto návrhom riešia, sa neobmedzujú len na územie jedného členského štátu. Prístup uchádzačov a tovaru z tretích krajín na trh verejného obstarávania EÚ možno regulovať len opatreniami EÚ, keďže ide o výlučnú právomoc EÚ. Podobne, pokiaľ zostávajú záväzky EÚ vyplývajúce z GPA, členské štáty nesmú zaviesť zjednodušenie postupov nad rámec úrovne stanovenej na úrovni EÚ, pretože prahové hodnoty a postupy verejného obstarávania sa riadia pravidlami EÚ, ktorými sa vykonávajú procesné záväzky vyplývajúce z GPA.</w:t>
      </w:r>
    </w:p>
    <w:p>
      <w:r>
        <w:t>1.5.3. Poznatky získané z podobných skúseností v minulosti</w:t>
      </w:r>
    </w:p>
    <w:p>
      <w:r>
        <w:t>Predchádzajúce reformy ukázali, že digitálne nástroje, ako je elektronické obstarávanie, môžu zefektívniť procesy, ale tie musia byť štandardizované vo všetkých členských štátoch, aby sa zabránilo fragmentácii. V nových pravidlách by sa mali stanoviť jasné základné požiadavky a zároveň by sa mala umožniť flexibilita pri ich vykonávaní.</w:t>
      </w:r>
    </w:p>
    <w:p>
      <w:r>
        <w:t>Skúsenosti ukázali, že zjednodušené postupy a digitálne predkvalifikačné systémy pomáhajú malým a stredným podnikom účinnejšie sa zúčastňovať na verejnom obstarávaní. Automatizovaný zber údajov sa ukázal ako cenný pre zlepšenie transparentnosti a umožnenie lepšieho monitorovania postupov verejného obstarávania.</w:t>
      </w:r>
    </w:p>
    <w:p>
      <w:r>
        <w:t>Minulé reformy napokon ukázali, že úspešné vykonávanie si vyžaduje včasnú spoluprácu so všetkými zainteresovanými stranami a poskytnutie jasných usmernení počas celého procesu.</w:t>
      </w:r>
    </w:p>
    <w:p>
      <w:r>
        <w:t>1.5.4. Zlučiteľnosť s viacročným finančným rámcom a možná synergia s inými vhodnými nástrojmi</w:t>
      </w:r>
    </w:p>
    <w:p>
      <w:r>
        <w:t>Revíziou smerníc o verejnom obstarávaní sa podporujú ciele EÚ v oblasti zjednodušenia a konkurencieschopnosti tým, že sa hospodárskym subjektom umožňujú digitálne nástroje a harmonizované procesy, čo umožňuje dôveryhodný, bezpečný a používateľsky ústretový súlad s administratívnymi požiadavkami. To zahŕňa zjednodušenú identifikáciu, autentifikáciu a výmenu údajov, čím sa zabezpečí plynulá interakcia medzi podnikmi a orgánmi verejnej moci. Preto je plne v súlade s cieľmi VFR na roky 2028 – 2034.</w:t>
      </w:r>
    </w:p>
    <w:p>
      <w:r>
        <w:t>Začlenenie Komisie a členských štátov do vykonávania tohto nariadenia bude mať finančné dôsledky, ktoré by mohli byť prevažne pokryté z rozpočtu EÚ v rámci VFR na roky 2028 – 2034 v závislosti od výsledku prebiehajúcich rokovaní o návrhu Komisie týkajúcom sa budúceho VFR. Tieto náklady súvisia najmä s:</w:t>
      </w:r>
    </w:p>
    <w:p>
      <w:r>
        <w:t>1. Digitálna transformácia procesov verejného obstarávania vrátane vývoja a zavádzania platforiem elektronického obstarávania.</w:t>
      </w:r>
    </w:p>
    <w:p>
      <w:r>
        <w:t>2. Integrácia existujúcich informačných systémov s novými digitálnymi nástrojmi na zabezpečenie interoperability.</w:t>
      </w:r>
    </w:p>
    <w:p>
      <w:r>
        <w:t>3. Vytvorenie mechanizmov dohľadu a monitorovania na zabezpečenie súladu s revidovaným nariadením.</w:t>
      </w:r>
    </w:p>
    <w:p>
      <w:r>
        <w:t>1.5.5. Posúdenie rôznych disponibilných možností financovania vrátane možnosti prerozdelenia</w:t>
      </w:r>
    </w:p>
    <w:p>
      <w:r>
        <w:t>Personálne potreby vo výške 17 dodatočných ekvivalentov plného pracovného času (8 AD pre GR GROW, 4 AD pre Úrad pre publikácie a 5 VNE pre GR GROW) budú čiastočne pokryté prerozdelením existujúcich rozpočtových prostriedkov pridelených GR. Napriek značnému úsiliu, ktoré Komisia vynaložila na prerozdelenie svojich ľudských zdrojov v minulom roku s cieľom zabezpečiť úspešné plnenie a riadne vykonávanie tohto návrhu, bude potrebné ďalšie zvýšenie počtu zamestnancov Komisie, aby sa uspokojili všetky potreby.</w:t>
      </w:r>
    </w:p>
    <w:p>
      <w:pPr>
        <w:pStyle w:val="Heading3"/>
        <w:jc w:val="center"/>
      </w:pPr>
      <w:r>
        <w:t>Pokiaľ ide o financovanie, potreby sa budú striktne uspokojovať prerozdelením.</w:t>
      </w:r>
    </w:p>
    <w:p>
      <w:r>
        <w:t>Odhadovaný vplyv na výdavky a personál na rok 2028 a ďalšie roky sa pridáva len na ilustračné účely a nemá vplyv na budúci viacročný finančný rámec. Zdroj financovania a rozsah finančného záväzku Únie v období po roku 2027 naďalej závisia od výsledku medziinštitucionálnych rokovaní o VFR na roky 2028 – 2034 a následne sa určia v rámci ročného rozpočtového postupu. Všetky rozpočtové prostriedky a pridelené počty zamestnancov od roku 2028 sú orientačné.</w:t>
      </w:r>
    </w:p>
    <w:p>
      <w:r>
        <w:t>1.6. Trvanie a finančný vplyv návrhu/iniciatívy</w:t>
      </w:r>
    </w:p>
    <w:p>
      <w:r>
        <w:t>☐ obmedzené trvanie</w:t>
      </w:r>
    </w:p>
    <w:p>
      <w:r>
        <w:t>☐ v platnosti od [DD.MM]RRRR do [DD.MM]RRRR</w:t>
      </w:r>
    </w:p>
    <w:p>
      <w:r>
        <w:t>☐ finančný vplyv trvá od RRRR do RRRR v prípade viazaných rozpočtových prostriedkov a od RRRR do RRRR v prípade platobných rozpočtových prostriedkov.</w:t>
      </w:r>
    </w:p>
    <w:p>
      <w:r>
        <w:t>☑ neobmedzené trvanie</w:t>
      </w:r>
    </w:p>
    <w:p>
      <w:r>
        <w:t>Počiatočná fáza vykonávania bude trvať od roku 2028 do roku 2030,</w:t>
      </w:r>
    </w:p>
    <w:p>
      <w:r>
        <w:t>a potom bude vykonávanie pokračovať v plnom rozsahu.</w:t>
      </w:r>
    </w:p>
    <w:p>
      <w:r>
        <w:t>1.7. Plánovaný spôsob plnenia rozpočtu(2)[2]</w:t>
      </w:r>
    </w:p>
    <w:p>
      <w:r>
        <w:t>☑ priame riadenie na úrovni Komisie</w:t>
      </w:r>
    </w:p>
    <w:p>
      <w:r>
        <w:t>☑ prostredníctvom jej útvarov vrátane zamestnancov v delegáciách Únie</w:t>
      </w:r>
    </w:p>
    <w:p>
      <w:r>
        <w:t>☐ prostredníctvom výkonných agentúr</w:t>
      </w:r>
    </w:p>
    <w:p>
      <w:r>
        <w:t>☐ zdieľané riadenie s členskými štátmi</w:t>
      </w:r>
    </w:p>
    <w:p>
      <w:pPr>
        <w:pStyle w:val="Heading3"/>
        <w:jc w:val="center"/>
      </w:pPr>
      <w:r>
        <w:t>☐ nepriame riadenie, pri ktorom sa plnením rozpočtu poveria:</w:t>
      </w:r>
    </w:p>
    <w:p>
      <w:r>
        <w:t>☐ tretie krajiny alebo subjekty, ktoré tieto krajiny určili,</w:t>
      </w:r>
    </w:p>
    <w:p>
      <w:r>
        <w:t>☐ medzinárodné organizácie a ich agentúry (uveďte),</w:t>
      </w:r>
    </w:p>
    <w:p>
      <w:r>
        <w:t>☐ Európska investičná banka a Európsky investičný fond;</w:t>
      </w:r>
    </w:p>
    <w:p>
      <w:r>
        <w:t>☐ subjekty uvedené v článkoch 70 a 71 nariadenia o rozpočtových pravidlách,</w:t>
      </w:r>
    </w:p>
    <w:p>
      <w:r>
        <w:t>☐ verejnoprávne subjekty,</w:t>
      </w:r>
    </w:p>
    <w:p>
      <w:r>
        <w:t>☐ súkromnoprávne subjekty poverené vykonávaním verejnej služby, pokiaľ sú im poskytnuté primerané finančné záruky,</w:t>
      </w:r>
    </w:p>
    <w:p>
      <w:r>
        <w:t>☐ súkromnoprávne subjekty spravované právom členského štátu, ktoré sú poverené vykonávaním verejno-súkromného partnerstva a ktorým sú poskytnuté primerané finančné záruky,</w:t>
      </w:r>
    </w:p>
    <w:p>
      <w:r>
        <w:t>☐ subjekty alebo osoby poverené vykonávaním osobitných akcií v oblasti spoločnej zahraničnej a bezpečnostnej politiky podľa hlavy V Zmluvy o Európskej únii a určené v príslušnom základnom akte</w:t>
      </w:r>
    </w:p>
    <w:p>
      <w:r>
        <w:t>☐ subjekty usadené v členskom štáte, spravované súkromným právom členského štátu alebo právom Únie, ktoré môžu byť v súlade s pravidlami platnými v jednotlivých odvetviach poverené implementáciou finančných prostriedkov Únie alebo rozpočtových záruk, pokiaľ sú takéto subjekty kontrolované verejnoprávnymi subjektmi alebo súkromnoprávnymi subjektmi poverenými vykonávaním verejnej služby a sú im poskytnuté primerané finančné záruky v podobe spoločnej a nerozdielnej zodpovednosti zo strany kontrolných subjektov alebo rovnocenné finančné záruky, ktoré môžu byť v prípade každej akcie obmedzené na maximálnu výšku podpory Únie.</w:t>
      </w:r>
    </w:p>
    <w:p>
      <w:r>
        <w:t>Komentáre</w:t>
      </w:r>
    </w:p>
    <w:p>
      <w:r>
        <w:t>2. RIADIACE OPATRENIA</w:t>
      </w:r>
    </w:p>
    <w:p>
      <w:r>
        <w:t>2.1. Pravidlá monitorovania a podávania správ</w:t>
      </w:r>
    </w:p>
    <w:p>
      <w:r>
        <w:t>Každých sedem rokov po nadobudnutí účinnosti tohto nariadenia Komisia vykoná hodnotenie tohto nariadenia.</w:t>
      </w:r>
    </w:p>
    <w:p>
      <w:r>
        <w:t>Komisia predloží správu o hlavných zisteniach hodnotenia vykonaného v súlade s odsekom 1 Európskemu parlamentu, Rade, Európskemu hospodárskemu a sociálnemu výboru a Výboru regiónov. Členské štáty poskytnú Komisii informácie potrebné na vypracovanie správy.</w:t>
      </w:r>
    </w:p>
    <w:p>
      <w:r>
        <w:t>2.2. Systémy riadenia a kontroly</w:t>
      </w:r>
    </w:p>
    <w:p>
      <w:r>
        <w:t>2.2.1. Opodstatnenie navrhovaných metód plnenia rozpočtu, mechanizmov vykonávania financovania, spôsobov platby a stratégie kontroly</w:t>
      </w:r>
    </w:p>
    <w:p>
      <w:r>
        <w:t>Revidovaným nariadením o verejnom obstarávaní sa zavádzajú harmonizované digitálne nástroje a procesy na zefektívnenie administratívnych požiadaviek, čím sa zabezpečuje dôveryhodné, bezpečné a používateľsky ústretové dodržiavanie predpisov. Tieto nové pravidlá si vyžadujú vypracovanie technických špecifikácií, noriem a rámcov interoperability, ako aj dohľad a koordináciu medzi inštitúciami EÚ a členskými štátmi.</w:t>
      </w:r>
    </w:p>
    <w:p>
      <w:r>
        <w:t>Na účinné vykonávanie týchto opatrení musia mať útvary Komisie primerané zdroje vrátane:</w:t>
      </w:r>
    </w:p>
    <w:p>
      <w:r>
        <w:t>1. Technická a prevádzková podpora digitálnej infraštruktúry (napr. platformy elektronického obstarávania, integrácia s digitálnym nástrojom podnikateľských certifikátov).</w:t>
      </w:r>
    </w:p>
    <w:p>
      <w:r>
        <w:t>2. Koordinácia s členskými štátmi s cieľom zabezpečiť jednotné uplatňovanie nových právnych predpisov.</w:t>
      </w:r>
    </w:p>
    <w:p>
      <w:r>
        <w:t>Odhaduje sa, že vykonávanie ustanovení nového nariadenia si bude vyžadovať 17 ekvivalentov plného pracovného času (FTE) v rámci Komisie, čím sa zabezpečí dostatočná kapacita na dohľad, monitorovanie a vykonávanie politiky.</w:t>
      </w:r>
    </w:p>
    <w:p>
      <w:r>
        <w:t>2.2.2. Informácie o zistených rizikách a systémoch vnútornej kontroly zavedených na ich zmiernenie</w:t>
      </w:r>
    </w:p>
    <w:p>
      <w:r>
        <w:t>Riziká oneskorení pri vykonávaní na strane Komisie alebo členských štátov, ktoré vedú k nesúladu alebo roztrieštenému uplatňovaniu. Pravidelná spolupráca s členskými štátmi a podnikmi s cieľom včas identifikovať riziká a zosúladiť systémy kontroly s potrebami zainteresovaných strán.</w:t>
      </w:r>
    </w:p>
    <w:p>
      <w:r>
        <w:t>2.2.3. Odhad a opodstatnenie nákladovej účinnosti kontrol (pomer medzi nákladmi na kontroly a hodnotou súvisiacich riadených finančných prostriedkov) a posúdenie očakávaných úrovní rizika chyby (pri platbe a uzavretí)</w:t>
      </w:r>
    </w:p>
    <w:p>
      <w:r>
        <w:t>Zavedené systémy vnútornej kontroly sú účinné.</w:t>
      </w:r>
    </w:p>
    <w:p>
      <w:r>
        <w:t>2.3. Opatrenia na predchádzanie podvodom a nezrovnalostiam</w:t>
      </w:r>
    </w:p>
    <w:p>
      <w:r>
        <w:t>Existujúce opatrenia boja proti podvodom uplatniteľné na Komisiu sa budú vzťahovať na dodatočné rozpočtové prostriedky potrebné pre toto nariadenie.</w:t>
      </w:r>
    </w:p>
    <w:p>
      <w:r>
        <w:t>3. ESTIMATEDFINANCIALIMPACTOFTHEPROPOSAL/INICIATÍVA</w:t>
      </w:r>
    </w:p>
    <w:p>
      <w:r>
        <w:t>3.1. Okruhy viacročného finančného rámca a dotknuté výdavkové položky rozpočtu</w:t>
      </w:r>
    </w:p>
    <w:p>
      <w:r>
        <w:t>Existujúce rozpočtové riadky</w:t>
      </w:r>
    </w:p>
    <w:p>
      <w:r>
        <w:t>V poradí, v akom za sebou nasledujú okruhy viacročného finančného rámca a rozpočtové riadky.</w:t>
      </w:r>
    </w:p>
    <w:p>
      <w:r>
        <w:t>Druh</w:t>
      </w:r>
    </w:p>
    <w:p>
      <w:pPr>
        <w:pStyle w:val="Heading3"/>
        <w:jc w:val="center"/>
      </w:pPr>
      <w:r>
        <w:t>Rozpočet</w:t>
      </w:r>
    </w:p>
    <w:p>
      <w:r>
        <w:t>príspevok na výdavky</w:t>
      </w:r>
    </w:p>
    <w:p>
      <w:r>
        <w:t>riadok</w:t>
      </w:r>
    </w:p>
    <w:p>
      <w:r>
        <w:t>e</w:t>
      </w:r>
    </w:p>
    <w:p>
      <w:r>
        <w:t>Nadpis</w:t>
      </w:r>
    </w:p>
    <w:p>
      <w:r>
        <w:t>vo výške</w:t>
      </w:r>
    </w:p>
    <w:p>
      <w:r>
        <w:t>od</w:t>
      </w:r>
    </w:p>
    <w:p>
      <w:r>
        <w:t>viacročná</w:t>
      </w:r>
    </w:p>
    <w:p>
      <w:r>
        <w:t>kandidát</w:t>
      </w:r>
    </w:p>
    <w:p>
      <w:r>
        <w:t>al z</w:t>
      </w:r>
    </w:p>
    <w:p>
      <w:r>
        <w:t>krajiny z iných</w:t>
      </w:r>
    </w:p>
    <w:p>
      <w:r>
        <w:t>finančný rozdiel/Nie – EZVO</w:t>
      </w:r>
    </w:p>
    <w:p>
      <w:r>
        <w:t>Číslo a tretie pridelené</w:t>
      </w:r>
    </w:p>
    <w:p>
      <w:r>
        <w:t>rámcová difúzia (3)[1] krajiny</w:t>
      </w:r>
    </w:p>
    <w:p>
      <w:r>
        <w:t>príjmy potenciálnych krajín</w:t>
      </w:r>
    </w:p>
    <w:p>
      <w:r>
        <w:t>(4)[2]</w:t>
      </w:r>
    </w:p>
    <w:p>
      <w:r>
        <w:t>kandidáti</w:t>
      </w:r>
    </w:p>
    <w:p>
      <w:r>
        <w:t>(5)[3]</w:t>
      </w:r>
    </w:p>
    <w:p>
      <w:r>
        <w:t>04.02.03 —</w:t>
      </w:r>
    </w:p>
    <w:p>
      <w:r>
        <w:t>2 Digitálny rozdiel. ÁNO(6)[4] ÁNO(7)[5] NIE</w:t>
      </w:r>
    </w:p>
    <w:p>
      <w:pPr>
        <w:pStyle w:val="Heading3"/>
        <w:jc w:val="center"/>
      </w:pPr>
      <w:r>
        <w:t>Vedenie</w:t>
      </w:r>
    </w:p>
    <w:p>
      <w:pPr>
        <w:pStyle w:val="Heading3"/>
        <w:jc w:val="center"/>
      </w:pPr>
      <w:r>
        <w:t>XX.XX.X</w:t>
      </w:r>
    </w:p>
    <w:p>
      <w:r>
        <w:t>2 Rozdiel ÁNO ÁNO ÁNO NIE NIE</w:t>
      </w:r>
    </w:p>
    <w:p>
      <w:pPr>
        <w:pStyle w:val="Heading3"/>
        <w:jc w:val="center"/>
      </w:pPr>
      <w:r>
        <w:t>X.XX(8)[^6]</w:t>
      </w:r>
    </w:p>
    <w:p>
      <w:pPr>
        <w:pStyle w:val="Heading1"/>
      </w:pPr>
      <w:r>
        <w:t>SK SK SK</w:t>
      </w:r>
    </w:p>
    <w:p>
      <w:r>
        <w:t>159</w:t>
      </w:r>
    </w:p>
    <w:p>
      <w:r>
        <w:t>Nové rozpočtové riadky, ktorých vytvorenie sa požaduje</w:t>
      </w:r>
    </w:p>
    <w:p>
      <w:r>
        <w:t>V poradí, v akom za sebou nasledujú okruhy viacročného finančného rámca a rozpočtové riadky.</w:t>
      </w:r>
    </w:p>
    <w:p>
      <w:r>
        <w:t>3.2. Odhadovaný finančný vplyv návrhu na rozpočtové prostriedky</w:t>
      </w:r>
    </w:p>
    <w:p>
      <w:r>
        <w:t>3.2.1. Zhrnutie odhadovaného vplyvu na operačné rozpočtové prostriedky</w:t>
      </w:r>
    </w:p>
    <w:p>
      <w:r>
        <w:t>☐ návrh/iniciatíva si nevyžaduje použitie operačných rozpočtových prostriedkov</w:t>
      </w:r>
    </w:p>
    <w:p>
      <w:r>
        <w:t>☑ návrh/iniciatíva si vyžaduje použitie operačných rozpočtových prostriedkov, ako je uvedené v nasledujúcej tabuľke:</w:t>
      </w:r>
    </w:p>
    <w:p>
      <w:r>
        <w:t>3.2.2. Rozpočtové prostriedky zo schváleného rozpočtu</w:t>
      </w:r>
    </w:p>
    <w:p>
      <w:r>
        <w:t>V mil. EUR (zaokrúhlené na 3 desatinné miesta)</w:t>
      </w:r>
    </w:p>
    <w:p>
      <w:r>
        <w:t>Odhadovaný vplyv na výdavky a personál na rok 2028 a ďalšie roky sa pridáva len na ilustračné účely a nemá vplyv na ďalšie</w:t>
      </w:r>
    </w:p>
    <w:p>
      <w:r>
        <w:t>Viacročný finančný rámec. Zdroj financovania a rozsah finančného záväzku Únie v období po roku 2027 naďalej podliehajú</w:t>
      </w:r>
    </w:p>
    <w:p>
      <w:r>
        <w:t>výsledok medziinštitucionálnych rokovaní o VFR na roky 2028 – 2034 a neskôr sa určí prostredníctvom ročného rozpočtu.</w:t>
      </w:r>
    </w:p>
    <w:p>
      <w:r>
        <w:t>postup. Všetky rozpočtové prostriedky a pridelené počty zamestnancov od roku 2028 sú orientačné.</w:t>
      </w:r>
    </w:p>
    <w:p>
      <w:r>
        <w:t>Táto iniciatíva sa bude financovať prerozdelením v rámci operačných programov budúceho VFR a čiastočne z administratívnych</w:t>
      </w:r>
    </w:p>
    <w:p>
      <w:r>
        <w:t>výdavkov. Presuny finančných operačných riadkov budú pochádzať z operačných riadkov a presuny finančných administratívnych riadkov budú pochádzať z administratívnych riadkov. V tejto fáze nie je možné presne uviesť príspevok z každého okruhu VFR a programu,</w:t>
      </w:r>
    </w:p>
    <w:p>
      <w:r>
        <w:t>hoci sa očakáva, že významný príspevok bude pochádzať z programov v rámci okruhu 2 VFR na roky 2028 – 2034 (napr.</w:t>
      </w:r>
    </w:p>
    <w:p>
      <w:r>
        <w:t>Fond pre konkurencieschopnosť).</w:t>
      </w:r>
    </w:p>
    <w:p>
      <w:r>
        <w:t>Rozdiel v nákladoch uvedených v legislatívnom finančnom výkaze a v posúdení vplyvu vyplýva z toho, že legislatívny finančný</w:t>
      </w:r>
    </w:p>
    <w:p>
      <w:r>
        <w:t>výkaz zahŕňa všetky náklady, zatiaľ čo v posúdení vplyvu sa zohľadňujú len dodatočné náklady zavedené politickými opatreniami nad rámec</w:t>
      </w:r>
    </w:p>
    <w:p>
      <w:r>
        <w:t>tzv. bežné náklady. Existujú aj malé rozdiely v klasifikácii a prezentácii nákladov vyplývajúce z požiadaviek</w:t>
      </w:r>
    </w:p>
    <w:p>
      <w:r>
        <w:t>nariadenie o rozpočtových pravidlách.</w:t>
      </w:r>
    </w:p>
    <w:p>
      <w:pPr>
        <w:pStyle w:val="Heading1"/>
      </w:pPr>
      <w:r>
        <w:t>SK SK SK</w:t>
      </w:r>
    </w:p>
    <w:p>
      <w:r>
        <w:t>160</w:t>
      </w:r>
    </w:p>
    <w:p>
      <w:r>
        <w:t>Okruh viacročného finančného rámca č. 2</w:t>
      </w:r>
    </w:p>
    <w:p>
      <w:r>
        <w:t>Rok Rok Rok</w:t>
      </w:r>
    </w:p>
    <w:p>
      <w:r>
        <w:t>Rok Rok Rok Rok SPOLU VFR</w:t>
      </w:r>
    </w:p>
    <w:p>
      <w:r>
        <w:t>GR: GROW(9)[7]</w:t>
      </w:r>
    </w:p>
    <w:p>
      <w:r>
        <w:t>2028 2029 2030 2031 2028 – 2034</w:t>
      </w:r>
    </w:p>
    <w:p>
      <w:r>
        <w:t>2032 2033 2034</w:t>
      </w:r>
    </w:p>
    <w:p>
      <w:r>
        <w:t>Operačné rozpočtové prostriedky</w:t>
      </w:r>
    </w:p>
    <w:p>
      <w:r>
        <w:t>10.10 10.30 10.51 10.72 10.93 11.15</w:t>
      </w:r>
    </w:p>
    <w:p>
      <w:r>
        <w:t>Záväzky (1a) 9,908 73.659</w:t>
      </w:r>
    </w:p>
    <w:p>
      <w:r>
        <w:t>6 8 4 5 9 8</w:t>
      </w:r>
    </w:p>
    <w:p>
      <w:r>
        <w:t>04.02.03 – Digitálne technológie</w:t>
      </w:r>
    </w:p>
    <w:p>
      <w:r>
        <w:t>Vedenie</w:t>
      </w:r>
    </w:p>
    <w:p>
      <w:r>
        <w:t>12.95 12.95 14.97 14.97</w:t>
      </w:r>
    </w:p>
    <w:p>
      <w:r>
        <w:t>Platby (2a) 2.428 6.476 8,904 73.659</w:t>
      </w:r>
    </w:p>
    <w:p>
      <w:r>
        <w:t>1 1 5 5</w:t>
      </w:r>
    </w:p>
    <w:p>
      <w:r>
        <w:t>Administratívne rozpočtové prostriedky financované z balíka prostriedkov určených na realizáciu osobitných programov (10)[8]</w:t>
      </w:r>
    </w:p>
    <w:p>
      <w:r>
        <w:t>Rozpočtový riadok (3) 0.000</w:t>
      </w:r>
    </w:p>
    <w:p>
      <w:r>
        <w:t>= 1a+ 10.10 10.30 10.51 10.72 10.93 11.15</w:t>
      </w:r>
    </w:p>
    <w:p>
      <w:r>
        <w:t>Záväzky 9,908 73.659</w:t>
      </w:r>
    </w:p>
    <w:p>
      <w:r>
        <w:t>1b+ 3 6 8 4 5 9 8</w:t>
      </w:r>
    </w:p>
    <w:p>
      <w:r>
        <w:t>Rozpočtové prostriedky všetkých</w:t>
      </w:r>
    </w:p>
    <w:p>
      <w:r>
        <w:t>pre GR GROW</w:t>
      </w:r>
    </w:p>
    <w:p>
      <w:r>
        <w:t>=2a+ 12,95 12,95 14,97 14,97</w:t>
      </w:r>
    </w:p>
    <w:p>
      <w:r>
        <w:t>Platby 2.428 6.476 8,904 73.659</w:t>
      </w:r>
    </w:p>
    <w:p>
      <w:r>
        <w:t>2b+ 3 1 5 5</w:t>
      </w:r>
    </w:p>
    <w:p>
      <w:r>
        <w:t>Rok Rok Rok</w:t>
      </w:r>
    </w:p>
    <w:p>
      <w:r>
        <w:t>Rok Rok Rok Rok SPOLU VFR</w:t>
      </w:r>
    </w:p>
    <w:p>
      <w:r>
        <w:t>GR: Úrad pre publikácie.</w:t>
      </w:r>
    </w:p>
    <w:p>
      <w:r>
        <w:t>2028 2029 2030 2031 2028 – 2034</w:t>
      </w:r>
    </w:p>
    <w:p>
      <w:r>
        <w:t>2032 2033 2034</w:t>
      </w:r>
    </w:p>
    <w:p>
      <w:pPr>
        <w:pStyle w:val="Heading1"/>
      </w:pPr>
      <w:r>
        <w:t>SK SK SK</w:t>
      </w:r>
    </w:p>
    <w:p>
      <w:r>
        <w:t>161</w:t>
      </w:r>
    </w:p>
    <w:p>
      <w:r>
        <w:t>Operačné rozpočtové prostriedky</w:t>
      </w:r>
    </w:p>
    <w:p>
      <w:r>
        <w:t>10.16 10.37</w:t>
      </w:r>
    </w:p>
    <w:p>
      <w:r>
        <w:t>Záväzky (1b) 9.208 9.392 9.580 9.772 9.967 68.456</w:t>
      </w:r>
    </w:p>
    <w:p>
      <w:r>
        <w:t>7 0</w:t>
      </w:r>
    </w:p>
    <w:p>
      <w:r>
        <w:t>XX.XX.XX.XX(11)[9]</w:t>
      </w:r>
    </w:p>
    <w:p>
      <w:r>
        <w:t>12.03 12.03 13.91 13.91</w:t>
      </w:r>
    </w:p>
    <w:p>
      <w:r>
        <w:t>Platby (2b) 2.257 6.018 8.275 68.456</w:t>
      </w:r>
    </w:p>
    <w:p>
      <w:r>
        <w:t>6 6 7 7</w:t>
      </w:r>
    </w:p>
    <w:p>
      <w:r>
        <w:t>Administratívne rozpočtové prostriedky financované z balíka prostriedkov určených na realizáciu osobitných programov (12)[10]</w:t>
      </w:r>
    </w:p>
    <w:p>
      <w:r>
        <w:t>Rozpočtový riadok (3) 0.000</w:t>
      </w:r>
    </w:p>
    <w:p>
      <w:r>
        <w:t>= 1a+ 10.16 10.37</w:t>
      </w:r>
    </w:p>
    <w:p>
      <w:r>
        <w:t>Záväzky 9.208 9.392 9.580 9.772 9.967 68.456</w:t>
      </w:r>
    </w:p>
    <w:p>
      <w:r>
        <w:t>AB+ 3 7 0</w:t>
      </w:r>
    </w:p>
    <w:p>
      <w:r>
        <w:t>Rozpočtové prostriedky pre Úrad pre publikácie SPOLU</w:t>
      </w:r>
    </w:p>
    <w:p>
      <w:r>
        <w:t>=2a+ 12,03 12,03 13,91 13,91</w:t>
      </w:r>
    </w:p>
    <w:p>
      <w:r>
        <w:t>Platby 2.257 6.018 8.275 68.456</w:t>
      </w:r>
    </w:p>
    <w:p>
      <w:r>
        <w:t>2b+ 3 6 7 7</w:t>
      </w:r>
    </w:p>
    <w:p>
      <w:r>
        <w:t>Rok Rok Rok</w:t>
      </w:r>
    </w:p>
    <w:p>
      <w:r>
        <w:t>Rok Rok Rok Rok SPOLU VFR</w:t>
      </w:r>
    </w:p>
    <w:p>
      <w:r>
        <w:t>2028 2029 2030 2031 2028 – 2034</w:t>
      </w:r>
    </w:p>
    <w:p>
      <w:r>
        <w:t>2032 2033 2034</w:t>
      </w:r>
    </w:p>
    <w:p>
      <w:r>
        <w:t>19.11 19.49 19.88 20.28 20.69 21.10 21.52</w:t>
      </w:r>
    </w:p>
    <w:p>
      <w:r>
        <w:t>Záväzky (4) 142.115</w:t>
      </w:r>
    </w:p>
    <w:p>
      <w:r>
        <w:t>Operačné spolu 6 9 8 6 2 6 8</w:t>
      </w:r>
    </w:p>
    <w:p>
      <w:r>
        <w:t>pridelené prostriedky</w:t>
      </w:r>
    </w:p>
    <w:p>
      <w:r>
        <w:t>Platby (5) 4685 142.115</w:t>
      </w:r>
    </w:p>
    <w:p>
      <w:r>
        <w:t>12.49 17.17 24.98 24.98 28.89 28.89</w:t>
      </w:r>
    </w:p>
    <w:p>
      <w:pPr>
        <w:pStyle w:val="Heading1"/>
      </w:pPr>
      <w:r>
        <w:t>SK SK SK</w:t>
      </w:r>
    </w:p>
    <w:p>
      <w:r>
        <w:t>162</w:t>
      </w:r>
    </w:p>
    <w:p>
      <w:r>
        <w:t>4 9 7 7 2 2</w:t>
      </w:r>
    </w:p>
    <w:p>
      <w:r>
        <w:t>Rozpočtové prostriedky</w:t>
      </w:r>
    </w:p>
    <w:p>
      <w:r>
        <w:t>administratívny charakter financovaný z (6) 0.000 0.000 0.000 0.000 0.000 0.000 0.000 0.000 0.000</w:t>
      </w:r>
    </w:p>
    <w:p>
      <w:r>
        <w:t>finančné krytie osobitných programov</w:t>
      </w:r>
    </w:p>
    <w:p>
      <w:r>
        <w:t>19.11 19.49 19.88 20.28 20.69 21.10 21.52</w:t>
      </w:r>
    </w:p>
    <w:p>
      <w:r>
        <w:t>Rozpočtové prostriedky SPOLU Záväzky = 4+ 6142.115</w:t>
      </w:r>
    </w:p>
    <w:p>
      <w:r>
        <w:t>6 9 8 6 2 6 8</w:t>
      </w:r>
    </w:p>
    <w:p>
      <w:r>
        <w:t>v rámci OKRUHU 2</w:t>
      </w:r>
    </w:p>
    <w:p>
      <w:r>
        <w:t>viacročného</w:t>
      </w:r>
    </w:p>
    <w:p>
      <w:r>
        <w:t>12.49 17.17 24.98 24.98 28.89 28.89</w:t>
      </w:r>
    </w:p>
    <w:p>
      <w:r>
        <w:t>finančný rámec Platby = 5 + 6 4.685 142.115</w:t>
      </w:r>
    </w:p>
    <w:p>
      <w:r>
        <w:t>4 9 7 7 2 2</w:t>
      </w:r>
    </w:p>
    <w:p>
      <w:r>
        <w:t>TOTA</w:t>
      </w:r>
    </w:p>
    <w:p>
      <w:r>
        <w:t>Rok Rok Rok</w:t>
      </w:r>
    </w:p>
    <w:p>
      <w:r>
        <w:t>Rok Rok Rok Rok L VFR</w:t>
      </w:r>
    </w:p>
    <w:p>
      <w:r>
        <w:t>2028 2029 2030 2031 2028—</w:t>
      </w:r>
    </w:p>
    <w:p>
      <w:r>
        <w:t>2032 2033 2034</w:t>
      </w:r>
    </w:p>
    <w:p>
      <w:r>
        <w:t>2034</w:t>
      </w:r>
    </w:p>
    <w:p>
      <w:r>
        <w:t>19.11 19.49 19.88 20.28 20.69 21.10 21.52 142.11</w:t>
      </w:r>
    </w:p>
    <w:p>
      <w:r>
        <w:t>Záväzky (4)</w:t>
      </w:r>
    </w:p>
    <w:p>
      <w:r>
        <w:t>Operačné spolu 6 9 8 6 6 8 5</w:t>
      </w:r>
    </w:p>
    <w:p>
      <w:r>
        <w:t>rozpočtové prostriedky (všetky</w:t>
      </w:r>
    </w:p>
    <w:p>
      <w:r>
        <w:t>operačné okruhy) 12.49 17.17 24.98 24.98 28.89 28.89 142.11</w:t>
      </w:r>
    </w:p>
    <w:p>
      <w:pPr>
        <w:pStyle w:val="Heading3"/>
        <w:jc w:val="center"/>
      </w:pPr>
      <w:r>
        <w:t>Platby (5) 4685</w:t>
      </w:r>
    </w:p>
    <w:p>
      <w:r>
        <w:t>4 9 7 7 2 2 5</w:t>
      </w:r>
    </w:p>
    <w:p>
      <w:r>
        <w:t>Rozpočtové prostriedky</w:t>
      </w:r>
    </w:p>
    <w:p>
      <w:r>
        <w:t>administratívna povaha financovaná z</w:t>
      </w:r>
    </w:p>
    <w:p>
      <w:r>
        <w:t>(6) 0.000 0.000 0.000 0.000 0.000 0.000 0.000 0.000</w:t>
      </w:r>
    </w:p>
    <w:p>
      <w:r>
        <w:t>finančné krytie pre osobitné programy (všetky operačné okruhy)</w:t>
      </w:r>
    </w:p>
    <w:p>
      <w:r>
        <w:t>19.11 19.49 19.88 20.28 20.69 21.10 21.52 142.11</w:t>
      </w:r>
    </w:p>
    <w:p>
      <w:r>
        <w:t>Rozpočtové prostriedky všetkých</w:t>
      </w:r>
    </w:p>
    <w:p>
      <w:r>
        <w:t>Záväzky = 4+ 6</w:t>
      </w:r>
    </w:p>
    <w:p>
      <w:r>
        <w:t>6 9 8 6 2 6 8 5</w:t>
      </w:r>
    </w:p>
    <w:p>
      <w:r>
        <w:t>V rámci výdavkových kapitol 1 až 3</w:t>
      </w:r>
    </w:p>
    <w:p>
      <w:pPr>
        <w:pStyle w:val="Heading1"/>
      </w:pPr>
      <w:r>
        <w:t>SK SK SK</w:t>
      </w:r>
    </w:p>
    <w:p>
      <w:r>
        <w:t>163</w:t>
      </w:r>
    </w:p>
    <w:p>
      <w:r>
        <w:t>viacročného</w:t>
      </w:r>
    </w:p>
    <w:p>
      <w:r>
        <w:t>12.49 17.17 24.98 24.98 28.89 28.89 142.11</w:t>
      </w:r>
    </w:p>
    <w:p>
      <w:r>
        <w:t>finančného rámca</w:t>
      </w:r>
    </w:p>
    <w:p>
      <w:pPr>
        <w:pStyle w:val="Heading3"/>
        <w:jc w:val="center"/>
      </w:pPr>
      <w:r>
        <w:t>Platby = 5+ 6 4.685</w:t>
      </w:r>
    </w:p>
    <w:p>
      <w:r>
        <w:t>4 9 7 7 2 2 5</w:t>
      </w:r>
    </w:p>
    <w:p>
      <w:r>
        <w:t>(Referenčná suma)</w:t>
      </w:r>
    </w:p>
    <w:p>
      <w:r>
        <w:t>Okruh viacročného finančného rámca 4 „Administratívne výdavky“ (13)[11]</w:t>
      </w:r>
    </w:p>
    <w:p>
      <w:r>
        <w:t>TOTA</w:t>
      </w:r>
    </w:p>
    <w:p>
      <w:r>
        <w:t>Rok Rok Rok</w:t>
      </w:r>
    </w:p>
    <w:p>
      <w:r>
        <w:t>Rok Rok Rok Rok L VFR</w:t>
      </w:r>
    </w:p>
    <w:p>
      <w:r>
        <w:t>GR: GROW(14)[12]</w:t>
      </w:r>
    </w:p>
    <w:p>
      <w:r>
        <w:t>2028 2029 2030 2031 2028—</w:t>
      </w:r>
    </w:p>
    <w:p>
      <w:r>
        <w:t>2032 2033 2034</w:t>
      </w:r>
    </w:p>
    <w:p>
      <w:r>
        <w:t>2034</w:t>
      </w:r>
    </w:p>
    <w:p>
      <w:r>
        <w:t>Ľudské zdroje 2.092 2.134 2.177 2.220 2.264 2.310 2.356 15.553</w:t>
      </w:r>
    </w:p>
    <w:p>
      <w:r>
        <w:t>Ostatné administratívne výdavky 0.000 0.000 0.000 0.000 0.000 0.000 0.000 0.000</w:t>
      </w:r>
    </w:p>
    <w:p>
      <w:r>
        <w:t>Spolu Rozpočtové prostriedky GR GROW 2.092 2.134 2.177 2.220 2.264 2.310 2.356 15.553</w:t>
      </w:r>
    </w:p>
    <w:p>
      <w:r>
        <w:t>TOTA</w:t>
      </w:r>
    </w:p>
    <w:p>
      <w:r>
        <w:t>Rok Rok Rok</w:t>
      </w:r>
    </w:p>
    <w:p>
      <w:r>
        <w:t>Rok Rok Rok Rok L VFR</w:t>
      </w:r>
    </w:p>
    <w:p>
      <w:r>
        <w:t>GR: Úrad pre publikácie.</w:t>
      </w:r>
    </w:p>
    <w:p>
      <w:r>
        <w:t>2028 2029 2030 2031 2028—</w:t>
      </w:r>
    </w:p>
    <w:p>
      <w:r>
        <w:t>2032 2033 2034</w:t>
      </w:r>
    </w:p>
    <w:p>
      <w:r>
        <w:t>2034</w:t>
      </w:r>
    </w:p>
    <w:p>
      <w:r>
        <w:t>Ľudské zdroje 0,776 0,792 0,807 0,823 0,840 0,857 0,874 5.769</w:t>
      </w:r>
    </w:p>
    <w:p>
      <w:r>
        <w:t>Ostatné administratívne výdavky 0.000 0.000 0.000 0.000 0.000 0.000 0.000 0.000</w:t>
      </w:r>
    </w:p>
    <w:p>
      <w:r>
        <w:t>Rozpočtové prostriedky 0,776 0,792 0,807 0,823 0,840 0,857 0,874 5.769</w:t>
      </w:r>
    </w:p>
    <w:p>
      <w:r>
        <w:t>Publikácie spolu</w:t>
      </w:r>
    </w:p>
    <w:p>
      <w:pPr>
        <w:pStyle w:val="Heading1"/>
      </w:pPr>
      <w:r>
        <w:t>SK SK SK</w:t>
      </w:r>
    </w:p>
    <w:p>
      <w:r>
        <w:t>164</w:t>
      </w:r>
    </w:p>
    <w:p>
      <w:r>
        <w:t>Úrad</w:t>
      </w:r>
    </w:p>
    <w:p>
      <w:r>
        <w:t>(Spolu</w:t>
      </w:r>
    </w:p>
    <w:p>
      <w:r>
        <w:t>Rozpočtové prostriedky SPOLU</w:t>
      </w:r>
    </w:p>
    <w:p>
      <w:r>
        <w:t>zaviazať</w:t>
      </w:r>
    </w:p>
    <w:p>
      <w:r>
        <w:t>Okruh 4 viacročného rámca 2.868 2.925 2.984 3.044 3.104 3.167 3.230 21.322</w:t>
      </w:r>
    </w:p>
    <w:p>
      <w:r>
        <w:t>NTS = spolu</w:t>
      </w:r>
    </w:p>
    <w:p>
      <w:r>
        <w:t>finančného rámca</w:t>
      </w:r>
    </w:p>
    <w:p>
      <w:r>
        <w:t>platby)</w:t>
      </w:r>
    </w:p>
    <w:p>
      <w:r>
        <w:t>V mil. EUR (zaokrúhlené na 3 desatinné miesta)</w:t>
      </w:r>
    </w:p>
    <w:p>
      <w:r>
        <w:t>SPOLU</w:t>
      </w:r>
    </w:p>
    <w:p>
      <w:r>
        <w:t>Rok Rok Rok</w:t>
      </w:r>
    </w:p>
    <w:p>
      <w:r>
        <w:t>Rok Rok Rok Rok VFR</w:t>
      </w:r>
    </w:p>
    <w:p>
      <w:r>
        <w:t>2028 2029 2030 2031 2028—</w:t>
      </w:r>
    </w:p>
    <w:p>
      <w:r>
        <w:t>2032 2033 2034</w:t>
      </w:r>
    </w:p>
    <w:p>
      <w:r>
        <w:t>2034</w:t>
      </w:r>
    </w:p>
    <w:p>
      <w:r>
        <w:t>Rozpočtové prostriedky v rámci záväzkov 21.984 22.424 22.872 23.330 23.796 24.272 24.758 163.437 SPOLU</w:t>
      </w:r>
    </w:p>
    <w:p>
      <w:r>
        <w:t>Okruhy 1 až 4</w:t>
      </w:r>
    </w:p>
    <w:p>
      <w:r>
        <w:t>viacročného finančného</w:t>
      </w:r>
    </w:p>
    <w:p>
      <w:r>
        <w:t>Platby 7.553 15.419 20.163 28.031 28.092 32.058 32.121 163.437</w:t>
      </w:r>
    </w:p>
    <w:p>
      <w:r>
        <w:t>rámec</w:t>
      </w:r>
    </w:p>
    <w:p>
      <w:r>
        <w:t>3.2.3. Odhadované výstupy financované z operačných rozpočtových prostriedkov (v prípade decentralizovaných agentúr nevypĺňať)</w:t>
      </w:r>
    </w:p>
    <w:p>
      <w:r>
        <w:t>Viazané rozpočtové prostriedky v mil. EUR (zaokrúhlené na 3 desatinné miesta)</w:t>
      </w:r>
    </w:p>
    <w:p>
      <w:r>
        <w:t>Rok Rok Rok Uveďte toľko rokov, koľko je potrebné na zobrazenie</w:t>
      </w:r>
    </w:p>
    <w:p>
      <w:r>
        <w:t>SPOLU</w:t>
      </w:r>
    </w:p>
    <w:p>
      <w:r>
        <w:t>kate 2024 2025 2026 2027 trvanie vplyvu (pozri oddiel 1.6)</w:t>
      </w:r>
    </w:p>
    <w:p>
      <w:r>
        <w:t>objasnite</w:t>
      </w:r>
    </w:p>
    <w:p>
      <w:r>
        <w:t>VÝSTUPY</w:t>
      </w:r>
    </w:p>
    <w:p>
      <w:r>
        <w:t>zárodok</w:t>
      </w:r>
    </w:p>
    <w:p>
      <w:pPr>
        <w:pStyle w:val="Heading1"/>
      </w:pPr>
      <w:r>
        <w:t>SK SK SK</w:t>
      </w:r>
    </w:p>
    <w:p>
      <w:r>
        <w:t>165</w:t>
      </w:r>
    </w:p>
    <w:p>
      <w:r>
        <w:t>s</w:t>
      </w:r>
    </w:p>
    <w:p>
      <w:r>
        <w:t>podielu a</w:t>
      </w:r>
    </w:p>
    <w:p>
      <w:r>
        <w:t>Typ Aver</w:t>
      </w:r>
    </w:p>
    <w:p>
      <w:r>
        <w:t>Spolu spolu</w:t>
      </w:r>
    </w:p>
    <w:p>
      <w:r>
        <w:t>vyčerpať</w:t>
      </w:r>
    </w:p>
    <w:p>
      <w:r>
        <w:t>(15) vek bez nákladov bez nákladov bez nákladov bez nákladov bez nákladov bez nákladov</w:t>
      </w:r>
    </w:p>
    <w:p>
      <w:r>
        <w:t>Žiadne náklady</w:t>
      </w:r>
    </w:p>
    <w:p>
      <w:r>
        <w:t>náklady UTS [13]</w:t>
      </w:r>
    </w:p>
    <w:p>
      <w:r>
        <w:t>Ê</w:t>
      </w:r>
    </w:p>
    <w:p>
      <w:r>
        <w:t>Špecifický CIEĽ č. 1 (16)[14]: [...]</w:t>
      </w:r>
    </w:p>
    <w:p>
      <w:r>
        <w:t>—Vyčerpať</w:t>
      </w:r>
    </w:p>
    <w:p>
      <w:r>
        <w:t>—Vyčerpať</w:t>
      </w:r>
    </w:p>
    <w:p>
      <w:r>
        <w:t>—Vyčerpať</w:t>
      </w:r>
    </w:p>
    <w:p>
      <w:r>
        <w:t>Osobitný cieľ č. 1 medzisúčet</w:t>
      </w:r>
    </w:p>
    <w:p>
      <w:r>
        <w:t>Osobitný CIEĽ č. 2</w:t>
      </w:r>
    </w:p>
    <w:p>
      <w:pPr>
        <w:pStyle w:val="Heading1"/>
      </w:pPr>
      <w:r>
        <w:t>SK SK SK</w:t>
      </w:r>
    </w:p>
    <w:p>
      <w:r>
        <w:t>166</w:t>
      </w:r>
    </w:p>
    <w:p>
      <w:r>
        <w:t>...</w:t>
      </w:r>
    </w:p>
    <w:p>
      <w:r>
        <w:t>—Vyčerpať</w:t>
      </w:r>
    </w:p>
    <w:p>
      <w:r>
        <w:t>Špecifický cieľ č. 2 medzisúčet</w:t>
      </w:r>
    </w:p>
    <w:p>
      <w:r>
        <w:t>SÚČTY</w:t>
      </w:r>
    </w:p>
    <w:p>
      <w:r>
        <w:t>3.2.4. Zhrnutie odhadovaného vplyvu na administratívne rozpočtové prostriedky</w:t>
      </w:r>
    </w:p>
    <w:p>
      <w:r>
        <w:t>☐ návrh/iniciatíva si nevyžaduje použitie rozpočtových prostriedkov administratívnej povahy</w:t>
      </w:r>
    </w:p>
    <w:p>
      <w:r>
        <w:t>☑ návrh/iniciatíva si vyžaduje použitie administratívnych rozpočtových prostriedkov, ako je uvedené v nasledujúcej tabuľke:</w:t>
      </w:r>
    </w:p>
    <w:p>
      <w:r>
        <w:t>3.2.5. Rozpočtové prostriedky zo schváleného rozpočtu</w:t>
      </w:r>
    </w:p>
    <w:p>
      <w:r>
        <w:t>SPOLU</w:t>
      </w:r>
    </w:p>
    <w:p>
      <w:r>
        <w:t>Rok Rok Rok</w:t>
      </w:r>
    </w:p>
    <w:p>
      <w:r>
        <w:t>Rok Rok Rok Rok Rok</w:t>
      </w:r>
    </w:p>
    <w:p>
      <w:r>
        <w:t>SCHVÁLENÉ ROZPOČTOVÉ PROSTRIEDKY VFR</w:t>
      </w:r>
    </w:p>
    <w:p>
      <w:r>
        <w:t>2028 2029 2030 2031</w:t>
      </w:r>
    </w:p>
    <w:p>
      <w:r>
        <w:t>2032 2033 2034</w:t>
      </w:r>
    </w:p>
    <w:p>
      <w:r>
        <w:t>2028 – 2034</w:t>
      </w:r>
    </w:p>
    <w:p>
      <w:r>
        <w:t>OKRUH 4</w:t>
      </w:r>
    </w:p>
    <w:p>
      <w:r>
        <w:t>Ľudské zdroje 2.868 2.925 2.984 3.044 3.104 3.167 3.230 21.322</w:t>
      </w:r>
    </w:p>
    <w:p>
      <w:r>
        <w:t>Ostatné administratívne výdavky 0.000 0.000 0.000 0.000 0.000 0.000 0.000 0.000</w:t>
      </w:r>
    </w:p>
    <w:p>
      <w:r>
        <w:t>Medzisúčet OKRUHU 4 2.868 2.925 2.984 3.044 3.104 3.167 3.230 21.322</w:t>
      </w:r>
    </w:p>
    <w:p>
      <w:r>
        <w:t>Mimo OKRUHU 4</w:t>
      </w:r>
    </w:p>
    <w:p>
      <w:pPr>
        <w:pStyle w:val="Heading1"/>
      </w:pPr>
      <w:r>
        <w:t>SK SK SK</w:t>
      </w:r>
    </w:p>
    <w:p>
      <w:r>
        <w:t>167</w:t>
      </w:r>
    </w:p>
    <w:p>
      <w:r>
        <w:t>Ľudské zdroje 0,000 0,000 0,000 0,000 0,000 0,000 0,000 0,000</w:t>
      </w:r>
    </w:p>
    <w:p>
      <w:r>
        <w:t>Ostatné administratívne výdavky</w:t>
      </w:r>
    </w:p>
    <w:p>
      <w:r>
        <w:t>0.000 0.000 0.000 0.000 0.000 0.000 0.000 0.000</w:t>
      </w:r>
    </w:p>
    <w:p>
      <w:r>
        <w:t>príroda</w:t>
      </w:r>
    </w:p>
    <w:p>
      <w:r>
        <w:t>Medzisúčet mimo OKRUHU 4 0 000 0.000 0.000 0.000 0.000 0.000 0.000 0.000 0.000</w:t>
      </w:r>
    </w:p>
    <w:p>
      <w:r>
        <w:t>SPOLU 2.868 2.925 2.984 3.044 3.104 3.167 3.230 21.322</w:t>
      </w:r>
    </w:p>
    <w:p>
      <w:r>
        <w:t>3.2.5.1. Rozpočtové prostriedky všetkých</w:t>
      </w:r>
    </w:p>
    <w:p>
      <w:r>
        <w:t>CELKOVÝ POČET ODHLASOVANÝCH TOTA</w:t>
      </w:r>
    </w:p>
    <w:p>
      <w:r>
        <w:t>Náklady</w:t>
      </w:r>
    </w:p>
    <w:p>
      <w:r>
        <w:t>Rozpočtové prostriedky Rok Rok Rok Rok Rok Rok L VFR</w:t>
      </w:r>
    </w:p>
    <w:p>
      <w:r>
        <w:t>+ 2028 2029 2030 2031 2034 2028—</w:t>
      </w:r>
    </w:p>
    <w:p>
      <w:r>
        <w:t>2032 2033</w:t>
      </w:r>
    </w:p>
    <w:p>
      <w:r>
        <w:t>PRIDELENÉ EXTERNE V ROKU 2034</w:t>
      </w:r>
    </w:p>
    <w:p>
      <w:r>
        <w:t>VÝNOSY</w:t>
      </w:r>
    </w:p>
    <w:p>
      <w:r>
        <w:t>OKRUH 4</w:t>
      </w:r>
    </w:p>
    <w:p>
      <w:r>
        <w:t>Ľudské zdroje 2.868 2.925 2.984 3.044 3.104 3.167 3.230 21.322</w:t>
      </w:r>
    </w:p>
    <w:p>
      <w:r>
        <w:t>Iné administratívne</w:t>
      </w:r>
    </w:p>
    <w:p>
      <w:r>
        <w:t>0.000 0.000 0.000 0.000 0.000 0.000 0.000 0.000</w:t>
      </w:r>
    </w:p>
    <w:p>
      <w:r>
        <w:t>výdavky</w:t>
      </w:r>
    </w:p>
    <w:p>
      <w:r>
        <w:t>Medzisúčet OKRUHU 4 2.868 2.925 2.984 3.044 3.104 3.167 3.230 21.322</w:t>
      </w:r>
    </w:p>
    <w:p>
      <w:r>
        <w:t>Mimo OKRUHU 4</w:t>
      </w:r>
    </w:p>
    <w:p>
      <w:pPr>
        <w:pStyle w:val="Heading1"/>
      </w:pPr>
      <w:r>
        <w:t>SK SK SK</w:t>
      </w:r>
    </w:p>
    <w:p>
      <w:r>
        <w:t>168</w:t>
      </w:r>
    </w:p>
    <w:p>
      <w:r>
        <w:t>Ľudské zdroje 0,000 0,000 0,000 0,000 0,000 0,000 0,000 0,000</w:t>
      </w:r>
    </w:p>
    <w:p>
      <w:r>
        <w:t>Ostatné výdavky</w:t>
      </w:r>
    </w:p>
    <w:p>
      <w:r>
        <w:t>0.000 0.000 0.000 0.000 0.000 0.000 0.000 0.000</w:t>
      </w:r>
    </w:p>
    <w:p>
      <w:r>
        <w:t>administratívna povaha</w:t>
      </w:r>
    </w:p>
    <w:p>
      <w:r>
        <w:t>Medzisúčet mimo OKRUHU</w:t>
      </w:r>
    </w:p>
    <w:p>
      <w:r>
        <w:t>0.000 0.000 0.000 0.0000.000 0.000 0.000 0.000</w:t>
      </w:r>
    </w:p>
    <w:p>
      <w:r>
        <w:t>4</w:t>
      </w:r>
    </w:p>
    <w:p>
      <w:r>
        <w:t>SPOLU 2.868 2.925 2.984 3.044 3.104 3.167 3.230 21.322</w:t>
      </w:r>
    </w:p>
    <w:p>
      <w:r>
        <w:t>Personálne potreby sa čiastočne uspokoja prerozdelením existujúcich rozpočtových prostriedkov pridelených útvarom Komisie. Napriek značnému úsiliu, ktoré Komisia vynaložila na prerozdelenie svojich ľudských zdrojov v minulom roku s cieľom zabezpečiť úspešné plnenie a riadne vykonávanie tohto návrhu, bude potrebné ďalšie zvýšenie počtu zamestnancov Komisie, aby sa uspokojili všetky potreby.</w:t>
      </w:r>
    </w:p>
    <w:p>
      <w:r>
        <w:t>Odhadovaný vplyv na výdavky a personál na rok 2028 a ďalšie roky sa pridáva len na ilustračné účely a nemá vplyv na budúci viacročný finančný rámec. Zdroj financovania a rozsah finančného záväzku Únie v období po roku 2027 naďalej závisia od výsledku medziinštitucionálnych rokovaní o VFR na roky 2028 – 2034 a následne sa určia v rámci ročného rozpočtového postupu. Všetky rozpočtové prostriedky a pridelené počty zamestnancov od roku 2028 sú orientačné.</w:t>
      </w:r>
    </w:p>
    <w:p>
      <w:r>
        <w:t>3.2.6. Odhadované požiadavky ľudských zdrojov</w:t>
      </w:r>
    </w:p>
    <w:p>
      <w:r>
        <w:t>☐ návrh/iniciatíva si nevyžaduje použitie ľudských zdrojov.</w:t>
      </w:r>
    </w:p>
    <w:p>
      <w:r>
        <w:t>☑ návrh/iniciatíva si vyžaduje použitie týchto ľudských zdrojov:</w:t>
      </w:r>
    </w:p>
    <w:p>
      <w:r>
        <w:t>3.2.6.1. Financované zo schváleného rozpočtu</w:t>
      </w:r>
    </w:p>
    <w:p>
      <w:r>
        <w:t>Odhady sa vyjadrujú v ekvivalentoch plného pracovného času (17)[15]</w:t>
      </w:r>
    </w:p>
    <w:p>
      <w:pPr>
        <w:pStyle w:val="Heading1"/>
      </w:pPr>
      <w:r>
        <w:t>SK SK SK</w:t>
      </w:r>
    </w:p>
    <w:p>
      <w:r>
        <w:t>169</w:t>
      </w:r>
    </w:p>
    <w:p>
      <w:r>
        <w:t>Áno Áno Áno Áno</w:t>
      </w:r>
    </w:p>
    <w:p>
      <w:r>
        <w:t>HLASOVALI</w:t>
      </w:r>
    </w:p>
    <w:p>
      <w:r>
        <w:t>Rok Rok Rok</w:t>
      </w:r>
    </w:p>
    <w:p>
      <w:r>
        <w:t>AR ar ar ar</w:t>
      </w:r>
    </w:p>
    <w:p>
      <w:r>
        <w:t>PRÍSLUŠNÉ</w:t>
      </w:r>
    </w:p>
    <w:p>
      <w:r>
        <w:t>20 20 20 20</w:t>
      </w:r>
    </w:p>
    <w:p>
      <w:r>
        <w:t>2032 2033 2034</w:t>
      </w:r>
    </w:p>
    <w:p>
      <w:r>
        <w:t>NS</w:t>
      </w:r>
    </w:p>
    <w:p>
      <w:r>
        <w:t>28 29 30 31</w:t>
      </w:r>
    </w:p>
    <w:p>
      <w:r>
        <w:t>Plán pracovných miest (úradníci a dočasní zamestnanci)</w:t>
      </w:r>
    </w:p>
    <w:p>
      <w:r>
        <w:t>20 01 02 01 (sídlo a 12 12 12 12 12 Zastúpenia Komisie)</w:t>
      </w:r>
    </w:p>
    <w:p>
      <w:r>
        <w:t>20 01 02 03 (EÚ</w:t>
      </w:r>
    </w:p>
    <w:p>
      <w:r>
        <w:t>0 0 0 0 0 0 0</w:t>
      </w:r>
    </w:p>
    <w:p>
      <w:r>
        <w:t>Delegácie Spojeného kráľovstva)</w:t>
      </w:r>
    </w:p>
    <w:p>
      <w:r>
        <w:t>01 01 01 01</w:t>
      </w:r>
    </w:p>
    <w:p>
      <w:r>
        <w:t>0 0 0 0 0 0 0</w:t>
      </w:r>
    </w:p>
    <w:p>
      <w:r>
        <w:t>(Delegácie)</w:t>
      </w:r>
    </w:p>
    <w:p>
      <w:r>
        <w:t>01 01 01 11 (priama</w:t>
      </w:r>
    </w:p>
    <w:p>
      <w:r>
        <w:t>0 0 0 0 0 0 0</w:t>
      </w:r>
    </w:p>
    <w:p>
      <w:r>
        <w:t>výskum)</w:t>
      </w:r>
    </w:p>
    <w:p>
      <w:r>
        <w:t>Iné rozpočtové riadky</w:t>
      </w:r>
    </w:p>
    <w:p>
      <w:r>
        <w:t>0 0 0 0 0 0 0</w:t>
      </w:r>
    </w:p>
    <w:p>
      <w:r>
        <w:t>(uveďte)</w:t>
      </w:r>
    </w:p>
    <w:p>
      <w:r>
        <w:t>Externí zamestnanci (ekvivalent plného pracovného času)</w:t>
      </w:r>
    </w:p>
    <w:p>
      <w:r>
        <w:t>20 02 01 (ZZ, KONIEC</w:t>
      </w:r>
    </w:p>
    <w:p>
      <w:r>
        <w:t>5 5 5 5 5 5 5</w:t>
      </w:r>
    </w:p>
    <w:p>
      <w:r>
        <w:t>z „globálneho</w:t>
      </w:r>
    </w:p>
    <w:p>
      <w:pPr>
        <w:pStyle w:val="Heading1"/>
      </w:pPr>
      <w:r>
        <w:t>SK SK SK</w:t>
      </w:r>
    </w:p>
    <w:p>
      <w:r>
        <w:t>170</w:t>
      </w:r>
    </w:p>
    <w:p>
      <w:r>
        <w:t>obálka“)</w:t>
      </w:r>
    </w:p>
    <w:p>
      <w:r>
        <w:t>20 02 03 (ZZ, MZ, VNE a PED v</w:t>
      </w:r>
    </w:p>
    <w:p>
      <w:r>
        <w:t>0 0 0 0 0 0 0</w:t>
      </w:r>
    </w:p>
    <w:p>
      <w:r>
        <w:t>delegácie EÚ)</w:t>
      </w:r>
    </w:p>
    <w:p>
      <w:r>
        <w:t>Ad v</w:t>
      </w:r>
    </w:p>
    <w:p>
      <w:r>
        <w:t>min. ústredie 0 0 0 0 0 0</w:t>
      </w:r>
    </w:p>
    <w:p>
      <w:r>
        <w:t>Supp s</w:t>
      </w:r>
    </w:p>
    <w:p>
      <w:r>
        <w:t>riadok ORT</w:t>
      </w:r>
    </w:p>
    <w:p>
      <w:r>
        <w:t>[XX</w:t>
      </w:r>
    </w:p>
    <w:p>
      <w:r>
        <w:t>v EÚ</w:t>
      </w:r>
    </w:p>
    <w:p>
      <w:r>
        <w:t>.01. 0 0 0 0 0 0 0</w:t>
      </w:r>
    </w:p>
    <w:p>
      <w:r>
        <w:t>Delegácie</w:t>
      </w:r>
    </w:p>
    <w:p>
      <w:r>
        <w:t>ÁNO. ÁNO]</w:t>
      </w:r>
    </w:p>
    <w:p>
      <w:r>
        <w:t>01 01 01 02 (ZZ, VNE – nepriamy 0 0 0 0 0 výskum)</w:t>
      </w:r>
    </w:p>
    <w:p>
      <w:r>
        <w:t>01 01 01 12 (ZZ, VNE – priamy 0 0 0 0 0 výskum)</w:t>
      </w:r>
    </w:p>
    <w:p>
      <w:r>
        <w:t>Iné rozpočtové riadky (uveďte) – položka 0 0 0 0 0 0 4</w:t>
      </w:r>
    </w:p>
    <w:p>
      <w:pPr>
        <w:pStyle w:val="Heading1"/>
      </w:pPr>
      <w:r>
        <w:t>SK SK SK</w:t>
      </w:r>
    </w:p>
    <w:p>
      <w:r>
        <w:t>171</w:t>
      </w:r>
    </w:p>
    <w:p>
      <w:r>
        <w:t>Iné rozpočtové riadky (uveďte) – Mimo 0 0 0 0 0 0 výdavkovej kapitoly 4</w:t>
      </w:r>
    </w:p>
    <w:p>
      <w:r>
        <w:t>SPOLU 17 17 17 17 17 17 17</w:t>
      </w:r>
    </w:p>
    <w:p>
      <w:r>
        <w:t>3.2.6.2. Celková potreba ľudských zdrojov</w:t>
      </w:r>
    </w:p>
    <w:p>
      <w:r>
        <w:t>CELKOVÝ POČET HLASOV</w:t>
      </w:r>
    </w:p>
    <w:p>
      <w:r>
        <w:t>Appropriatio Áno Áno Áno Áno</w:t>
      </w:r>
    </w:p>
    <w:p>
      <w:r>
        <w:t>Rok Rok Rok</w:t>
      </w:r>
    </w:p>
    <w:p>
      <w:r>
        <w:t>NS ar ar ar</w:t>
      </w:r>
    </w:p>
    <w:p>
      <w:r>
        <w:t>+ 202 202 203 203</w:t>
      </w:r>
    </w:p>
    <w:p>
      <w:r>
        <w:t>2032 2033 2034</w:t>
      </w:r>
    </w:p>
    <w:p>
      <w:r>
        <w:t>EXTERNÉ 8 9 0 1</w:t>
      </w:r>
    </w:p>
    <w:p>
      <w:r>
        <w:t>PRIPÍSANÉ PRÍJMY</w:t>
      </w:r>
    </w:p>
    <w:p>
      <w:r>
        <w:t>Plán pracovných miest (úradníci a dočasní zamestnanci)</w:t>
      </w:r>
    </w:p>
    <w:p>
      <w:r>
        <w:t>20 01 02 01 (sídlo a 12 12 12 12 12 Zastúpenia Komisie)</w:t>
      </w:r>
    </w:p>
    <w:p>
      <w:r>
        <w:t>20 01 02 03 (EÚ</w:t>
      </w:r>
    </w:p>
    <w:p>
      <w:r>
        <w:t>0 0 0 0 0 0 0</w:t>
      </w:r>
    </w:p>
    <w:p>
      <w:r>
        <w:t>Delegácie Spojeného kráľovstva)</w:t>
      </w:r>
    </w:p>
    <w:p>
      <w:pPr>
        <w:pStyle w:val="Heading1"/>
      </w:pPr>
      <w:r>
        <w:t>SK SK SK</w:t>
      </w:r>
    </w:p>
    <w:p>
      <w:r>
        <w:t>172</w:t>
      </w:r>
    </w:p>
    <w:p>
      <w:r>
        <w:t>01 01 01 01</w:t>
      </w:r>
    </w:p>
    <w:p>
      <w:r>
        <w:t>0 0 0 0 0 0 0</w:t>
      </w:r>
    </w:p>
    <w:p>
      <w:r>
        <w:t>(Delegácie)</w:t>
      </w:r>
    </w:p>
    <w:p>
      <w:r>
        <w:t>01 01 01 11 (priama</w:t>
      </w:r>
    </w:p>
    <w:p>
      <w:r>
        <w:t>0 0 0 0 0 0 0</w:t>
      </w:r>
    </w:p>
    <w:p>
      <w:r>
        <w:t>výskum)</w:t>
      </w:r>
    </w:p>
    <w:p>
      <w:r>
        <w:t>Iné rozpočtové riadky</w:t>
      </w:r>
    </w:p>
    <w:p>
      <w:r>
        <w:t>0 0 0 0 0 0 0</w:t>
      </w:r>
    </w:p>
    <w:p>
      <w:r>
        <w:t>(uveďte)</w:t>
      </w:r>
    </w:p>
    <w:p>
      <w:r>
        <w:t>Externí zamestnanci (ekvivalent plného pracovného času)</w:t>
      </w:r>
    </w:p>
    <w:p>
      <w:r>
        <w:t>20 02 01 (ZZ, VNE z celkového finančného krytia 5 5 5 5 5 5 5)</w:t>
      </w:r>
    </w:p>
    <w:p>
      <w:r>
        <w:t>20 02 03 (ZZ, MZ, VNE a PED v</w:t>
      </w:r>
    </w:p>
    <w:p>
      <w:r>
        <w:t>0 0 0 0 0 0 0</w:t>
      </w:r>
    </w:p>
    <w:p>
      <w:r>
        <w:t>delegácie EÚ)</w:t>
      </w:r>
    </w:p>
    <w:p>
      <w:r>
        <w:t>Ad v</w:t>
      </w:r>
    </w:p>
    <w:p>
      <w:r>
        <w:t>min. ústredie 0 0 0 0 0 0</w:t>
      </w:r>
    </w:p>
    <w:p>
      <w:r>
        <w:t>SUP</w:t>
      </w:r>
    </w:p>
    <w:p>
      <w:r>
        <w:t>prístavná čiara</w:t>
      </w:r>
    </w:p>
    <w:p>
      <w:r>
        <w:t>v EÚ</w:t>
      </w:r>
    </w:p>
    <w:p>
      <w:r>
        <w:t>[XX</w:t>
      </w:r>
    </w:p>
    <w:p>
      <w:r>
        <w:t>0 0 0 0 0 0 0</w:t>
      </w:r>
    </w:p>
    <w:p>
      <w:r>
        <w:t>Delegácie</w:t>
      </w:r>
    </w:p>
    <w:p>
      <w:r>
        <w:t>.01. ÁNO.</w:t>
      </w:r>
    </w:p>
    <w:p>
      <w:pPr>
        <w:pStyle w:val="Heading1"/>
      </w:pPr>
      <w:r>
        <w:t>SK SK SK</w:t>
      </w:r>
    </w:p>
    <w:p>
      <w:r>
        <w:t>173</w:t>
      </w:r>
    </w:p>
    <w:p>
      <w:r>
        <w:t>ÁNO]</w:t>
      </w:r>
    </w:p>
    <w:p>
      <w:r>
        <w:t>01 01 01 02 (ZZ, VNE – nepriamy 0 0 0 0 0 výskum)</w:t>
      </w:r>
    </w:p>
    <w:p>
      <w:r>
        <w:t>01 01 01 12 (ZZ, VNE – priamy 0 0 0 0 0 výskum)</w:t>
      </w:r>
    </w:p>
    <w:p>
      <w:r>
        <w:t>Iné rozpočtové riadky (uveďte) – položka 0 0 0 0 0 0 4</w:t>
      </w:r>
    </w:p>
    <w:p>
      <w:r>
        <w:t>Iné rozpočtové riadky (uveďte) – Mimo 0 0 0 0 0 0 výdavkovej kapitoly 4</w:t>
      </w:r>
    </w:p>
    <w:p>
      <w:r>
        <w:t>SPOLU 17 17 17 17 17 17</w:t>
      </w:r>
    </w:p>
    <w:p>
      <w:r>
        <w:t>Zamestnanci potrební na vykonávanie návrhu (v ekvivalentoch plného pracovného času):</w:t>
      </w:r>
    </w:p>
    <w:p>
      <w:r>
        <w:t>Na ktoré sa má vzťahovať</w:t>
      </w:r>
    </w:p>
    <w:p>
      <w:r>
        <w:t>súčasní zamestnanci</w:t>
      </w:r>
    </w:p>
    <w:p>
      <w:r>
        <w:t>k dispozícii vo výnimočných dodatočných zamestnancoch*</w:t>
      </w:r>
    </w:p>
    <w:p>
      <w:r>
        <w:t>Komisia</w:t>
      </w:r>
    </w:p>
    <w:p>
      <w:r>
        <w:t>služby</w:t>
      </w:r>
    </w:p>
    <w:p>
      <w:r>
        <w:t>Má sa financovať</w:t>
      </w:r>
    </w:p>
    <w:p>
      <w:r>
        <w:t>Ktoré sa majú financovať</w:t>
      </w:r>
    </w:p>
    <w:p>
      <w:r>
        <w:t>z riadku BA z poplatkov</w:t>
      </w:r>
    </w:p>
    <w:p>
      <w:r>
        <w:t>podľa výdavkovej kapitoly</w:t>
      </w:r>
    </w:p>
    <w:p>
      <w:pPr>
        <w:pStyle w:val="Heading1"/>
      </w:pPr>
      <w:r>
        <w:t>SK SK SK</w:t>
      </w:r>
    </w:p>
    <w:p>
      <w:r>
        <w:t>174</w:t>
      </w:r>
    </w:p>
    <w:p>
      <w:r>
        <w:t>4 alebo Výskum</w:t>
      </w:r>
    </w:p>
    <w:p>
      <w:r>
        <w:t>Zriadenie</w:t>
      </w:r>
    </w:p>
    <w:p>
      <w:r>
        <w:t>3 9 NEUVÁDZA SA</w:t>
      </w:r>
    </w:p>
    <w:p>
      <w:r>
        <w:t>plánovať pracovné miesta</w:t>
      </w:r>
    </w:p>
    <w:p>
      <w:r>
        <w:t>Externí zamestnanci (ZZ, VNE, 2 3 DAZ)</w:t>
      </w:r>
    </w:p>
    <w:p>
      <w:r>
        <w:t>Opis úloh, ktoré majú vykonávať:</w:t>
      </w:r>
    </w:p>
    <w:p>
      <w:r>
        <w:t>Úlohy, ktoré majú vykonávať úradníci a dočasní zamestnanci, sa týkajú právneho pracovného toku, technického pracovného toku, koordinácie a úlohy dohľadu.</w:t>
      </w:r>
    </w:p>
    <w:p>
      <w:r>
        <w:t>GR GROW bude zodpovedné za vývoj a riadenie celého projektu. GR bude spolupracovať s ostatnými GR</w:t>
      </w:r>
    </w:p>
    <w:p>
      <w:r>
        <w:t>Úradníci a dočasní zamestnanci</w:t>
      </w:r>
    </w:p>
    <w:p>
      <w:r>
        <w:t>a útvary Komisie, ako je GR DIGIT, o vykonávaní PPDE.</w:t>
      </w:r>
    </w:p>
    <w:p>
      <w:r>
        <w:t>Úrad pre publikácie bude zodpovedný za rozšírenie svojich súčasných aplikácií, vývoj noriem a ontológie elektronického obstarávania a integráciu so sieťou interoperability a výmenou údajov v rámci dátového priestoru pre verejné obstarávanie.</w:t>
      </w:r>
    </w:p>
    <w:p>
      <w:r>
        <w:t>Úlohy, ktoré majú vykonávať úradníci a dočasní zamestnanci, sa týkajú:</w:t>
      </w:r>
    </w:p>
    <w:p>
      <w:r>
        <w:t>Externí pracovníci v oblasti právnej práce, technickej práce, koordinácie a úlohy dohľadu.</w:t>
      </w:r>
    </w:p>
    <w:p>
      <w:r>
        <w:t>3.2.7. Prehľad odhadovaného vplyvu na investície súvisiace s digitálnymi technológiami</w:t>
      </w:r>
    </w:p>
    <w:p>
      <w:r>
        <w:t>Povinné: v nasledujúcej tabuľke by mal byť uvedený najlepší odhad investícií súvisiacich s digitálnymi technológiami, ktoré sú súčasťou návrhu/iniciatívy.</w:t>
      </w:r>
    </w:p>
    <w:p>
      <w:pPr>
        <w:pStyle w:val="Heading1"/>
      </w:pPr>
      <w:r>
        <w:t>SK SK SK</w:t>
      </w:r>
    </w:p>
    <w:p>
      <w:r>
        <w:t>175</w:t>
      </w:r>
    </w:p>
    <w:p>
      <w:r>
        <w:t>Vo výnimočných prípadoch, ak je to potrebné na účely vykonávania návrhu/iniciatívy, by sa v určenom riadku mali uviesť rozpočtové prostriedky okruhu 7.</w:t>
      </w:r>
    </w:p>
    <w:p>
      <w:r>
        <w:t>Rozpočtové prostriedky okruhov 1 – 6 by sa mali uvádzať ako „Výdavky na operačné programy v oblasti politiky IT“. Tieto výdavky sa týkajú operačného rozpočtu, ktorý sa má použiť na opätovné použitie/nákup/vývoj IT platforiem/nástrojov priamo spojených s vykonávaním iniciatívy a investíciami, ktoré s nimi súvisia (napr. licencie, štúdie, uchovávanie údajov atď.). Informácie uvedené v tejto tabuľke by mali byť v súlade s podrobnými údajmi uvedenými v oddiele 4 „Digitálne rozmery“.</w:t>
      </w:r>
    </w:p>
    <w:p>
      <w:r>
        <w:t>SPOLU</w:t>
      </w:r>
    </w:p>
    <w:p>
      <w:r>
        <w:t>Rok Rok Rok</w:t>
      </w:r>
    </w:p>
    <w:p>
      <w:r>
        <w:t>Rok Rok Rok Rok Rok Rok Rok Rok Rok Rok Rok Rok Rok Rok</w:t>
      </w:r>
    </w:p>
    <w:p>
      <w:r>
        <w:t>VFR</w:t>
      </w:r>
    </w:p>
    <w:p>
      <w:pPr>
        <w:pStyle w:val="Heading3"/>
        <w:jc w:val="center"/>
      </w:pPr>
      <w:r>
        <w:t>Rozpočtové prostriedky na roky 2028 2029 – 2030 – 2031</w:t>
      </w:r>
    </w:p>
    <w:p>
      <w:r>
        <w:t>2032 2033 2034</w:t>
      </w:r>
    </w:p>
    <w:p>
      <w:r>
        <w:t>2028 – 2034</w:t>
      </w:r>
    </w:p>
    <w:p>
      <w:r>
        <w:t>OKRUH 4</w:t>
      </w:r>
    </w:p>
    <w:p>
      <w:r>
        <w:t>Výdavky na IT (korporácie) 0.000 0.000 0.000 0.000 0.000 0.000 0.000 0.000</w:t>
      </w:r>
    </w:p>
    <w:p>
      <w:r>
        <w:t>Medzisúčet OKRUHU 4 0 000 0.000 0.000 0.000 0.000 0.000 0.000 0.000 0.000</w:t>
      </w:r>
    </w:p>
    <w:p>
      <w:r>
        <w:t>Mimo OKRUHU 4</w:t>
      </w:r>
    </w:p>
    <w:p>
      <w:r>
        <w:t>Výdavky na informačné technológie v oblasti politiky</w:t>
      </w:r>
    </w:p>
    <w:p>
      <w:r>
        <w:t>19.116 19.499 19.888 20.286 20.692 21.106 21.528 142.115</w:t>
      </w:r>
    </w:p>
    <w:p>
      <w:r>
        <w:t>operačné programy</w:t>
      </w:r>
    </w:p>
    <w:p>
      <w:r>
        <w:t>Medzisúčet mimo OKRUHU</w:t>
      </w:r>
    </w:p>
    <w:p>
      <w:r>
        <w:t>19.116 19.499 19.888 20.286 20.692 21.106 21.528 142.115</w:t>
      </w:r>
    </w:p>
    <w:p>
      <w:r>
        <w:t>4</w:t>
      </w:r>
    </w:p>
    <w:p>
      <w:r>
        <w:t>SPOLU 19.116 19.499 19.888 20.286 20.692 21.106 21.528 142.115</w:t>
      </w:r>
    </w:p>
    <w:p>
      <w:pPr>
        <w:pStyle w:val="Heading1"/>
      </w:pPr>
      <w:r>
        <w:t>SK SK SK</w:t>
      </w:r>
    </w:p>
    <w:p>
      <w:r>
        <w:t>176</w:t>
      </w:r>
    </w:p>
    <w:p>
      <w:r>
        <w:t>3.2.8. Súlad s platným viacročným finančným rámcom</w:t>
      </w:r>
    </w:p>
    <w:p>
      <w:r>
        <w:t>Návrh/iniciatíva:</w:t>
      </w:r>
    </w:p>
    <w:p>
      <w:r>
        <w:t>☑ môže byť v plnej miere financovaná prerozdelením v rámci príslušného okruhu viacročného finančného rámca (VFR).</w:t>
      </w:r>
    </w:p>
    <w:p>
      <w:r>
        <w:t>☐ si vyžaduje použitie nepridelenej rezervy v rámci príslušného okruhu VFR a/alebo použitie osobitných nástrojov vymedzených v nariadení o VFR.</w:t>
      </w:r>
    </w:p>
    <w:p>
      <w:r>
        <w:t>☐ vyžaduje si revíziu VFR.</w:t>
      </w:r>
    </w:p>
    <w:p>
      <w:r>
        <w:t>3.2.9. Príspevky od tretích strán</w:t>
      </w:r>
    </w:p>
    <w:p>
      <w:r>
        <w:t>Návrh/iniciatíva:</w:t>
      </w:r>
    </w:p>
    <w:p>
      <w:r>
        <w:t>☑ nezahŕňa spolufinancovanie tretími stranami</w:t>
      </w:r>
    </w:p>
    <w:p>
      <w:r>
        <w:t>☐ zahŕňa spolufinancovanie tretími stranami, ako je odhadnuté v nasledujúcej tabuľke:</w:t>
      </w:r>
    </w:p>
    <w:p>
      <w:r>
        <w:t>Rozpočtové prostriedky v mil. EUR (zaokrúhlené na 3 desatinné miesta)</w:t>
      </w:r>
    </w:p>
    <w:p>
      <w:r>
        <w:t>Rok Rok Rok Rok Rok</w:t>
      </w:r>
    </w:p>
    <w:p>
      <w:r>
        <w:t>Spolu</w:t>
      </w:r>
    </w:p>
    <w:p>
      <w:r>
        <w:t>2024 2025 2026 2027</w:t>
      </w:r>
    </w:p>
    <w:p>
      <w:r>
        <w:t>Uveďte spolufinancujúci subjekt</w:t>
      </w:r>
    </w:p>
    <w:p>
      <w:r>
        <w:t>Rozpočtové prostriedky spolufinancované spolu</w:t>
      </w:r>
    </w:p>
    <w:p>
      <w:r>
        <w:t>3.3. Odhadovaný vplyv na príjmy</w:t>
      </w:r>
    </w:p>
    <w:p>
      <w:r>
        <w:t>☐ návrh/iniciatíva nemá finančný vplyv na príjmy.</w:t>
      </w:r>
    </w:p>
    <w:p>
      <w:r>
        <w:t>☐ návrh/iniciatíva má finančný vplyv na príjmy, ako je uvedené v nasledujúcej tabuľke:</w:t>
      </w:r>
    </w:p>
    <w:p>
      <w:r>
        <w:t>☐ na vlastné zdroje</w:t>
      </w:r>
    </w:p>
    <w:p>
      <w:r>
        <w:t>☐ vplyv na iné príjmy</w:t>
      </w:r>
    </w:p>
    <w:p>
      <w:r>
        <w:t>☐ uveďte, či sú príjmy pripísané rozpočtovým riadkom výdavkov</w:t>
      </w:r>
    </w:p>
    <w:p>
      <w:r>
        <w:t>V mil. EUR (zaokrúhlené na 3 desatinné miesta)</w:t>
      </w:r>
    </w:p>
    <w:p>
      <w:r>
        <w:t>Vplyv návrhu/iniciatívy (18)[1]</w:t>
      </w:r>
    </w:p>
    <w:p>
      <w:r>
        <w:t>Pridelené prostriedky</w:t>
      </w:r>
    </w:p>
    <w:p>
      <w:r>
        <w:t>Rozpočtový riadok príjmov:</w:t>
      </w:r>
    </w:p>
    <w:p>
      <w:r>
        <w:t>k dispozícii pre</w:t>
      </w:r>
    </w:p>
    <w:p>
      <w:r>
        <w:t>Rok Rok Rok Rok Rok</w:t>
      </w:r>
    </w:p>
    <w:p>
      <w:pPr>
        <w:pStyle w:val="Heading1"/>
      </w:pPr>
      <w:r>
        <w:t>SK SK SK</w:t>
      </w:r>
    </w:p>
    <w:p>
      <w:r>
        <w:t>178</w:t>
      </w:r>
    </w:p>
    <w:p>
      <w:r>
        <w:t>bežný rozpočtový rok 2024 2025 2026 2027</w:t>
      </w:r>
    </w:p>
    <w:p>
      <w:r>
        <w:t>Článok......</w:t>
      </w:r>
    </w:p>
    <w:p>
      <w:r>
        <w:t>V prípade pripísaných príjmov uveďte ovplyvnené rozpočtové riadky výdavkov.</w:t>
      </w:r>
    </w:p>
    <w:p>
      <w:r>
        <w:t>[...]</w:t>
      </w:r>
    </w:p>
    <w:p>
      <w:r>
        <w:t>Ďalšie poznámky (napr. spôsob/vzorec použitý na výpočet vplyvu na príjmy alebo akékoľvek ďalšie informácie).</w:t>
      </w:r>
    </w:p>
    <w:p>
      <w:r>
        <w:t>[...]</w:t>
      </w:r>
    </w:p>
    <w:p>
      <w:r>
        <w:t>4. DIGITALDIMENSIONS (DIGITÁLNE ODPORÚČANIA)</w:t>
      </w:r>
    </w:p>
    <w:p>
      <w:r>
        <w:t>4.1. Požiadavky digitálneho významu</w:t>
      </w:r>
    </w:p>
    <w:p>
      <w:r>
        <w:t>Ak sa politická iniciatíva považuje za iniciatívu, ktorá nemá žiadnu požiadavku digitálneho významu, vysvetlite, prečo sa digitálne prostriedky nepoužívajú.</w:t>
      </w:r>
    </w:p>
    <w:p>
      <w:r>
        <w:t>NEUVEDENÝ</w:t>
      </w:r>
    </w:p>
    <w:p>
      <w:pPr>
        <w:pStyle w:val="Heading3"/>
        <w:jc w:val="center"/>
      </w:pPr>
      <w:r>
        <w:t>V opačnom prípade uveďte požiadavky digitálneho významu v nasledujúcej tabuľke:</w:t>
      </w:r>
    </w:p>
    <w:p>
      <w:r>
        <w:t>Postihnutý(-í) subjekt(-y) alebo</w:t>
      </w:r>
    </w:p>
    <w:p>
      <w:r>
        <w:t>Odkaz na požiadavku</w:t>
      </w:r>
    </w:p>
    <w:p>
      <w:r>
        <w:t>znepokojené kategóriami procesov na vysokej úrovni</w:t>
      </w:r>
    </w:p>
    <w:p>
      <w:r>
        <w:t>opis požiadavky</w:t>
      </w:r>
    </w:p>
    <w:p>
      <w:r>
        <w:t>požiadavku</w:t>
      </w:r>
    </w:p>
    <w:p>
      <w:r>
        <w:t>Európskej komisie,</w:t>
      </w:r>
    </w:p>
    <w:p>
      <w:r>
        <w:t>Článok 110, článok 111, členské štáty,</w:t>
      </w:r>
    </w:p>
    <w:p>
      <w:r>
        <w:t>Pravidlá uverejňovania Informácie Údaje o uverejňovaní</w:t>
      </w:r>
    </w:p>
    <w:p>
      <w:r>
        <w:t>Článok 112, článok 113 Poskytovatelia služieb elektronického obstarávania</w:t>
      </w:r>
    </w:p>
    <w:p>
      <w:r>
        <w:t>Verejné</w:t>
      </w:r>
    </w:p>
    <w:p>
      <w:r>
        <w:t>Elektronické</w:t>
      </w:r>
    </w:p>
    <w:p>
      <w:r>
        <w:t>Článok 127 Špecifikácie IT Digitálne riešenia</w:t>
      </w:r>
    </w:p>
    <w:p>
      <w:r>
        <w:t>kupujúci, elektronické obstarávanie</w:t>
      </w:r>
    </w:p>
    <w:p>
      <w:r>
        <w:t>komunikácia</w:t>
      </w:r>
    </w:p>
    <w:p>
      <w:r>
        <w:t>servis</w:t>
      </w:r>
    </w:p>
    <w:p>
      <w:pPr>
        <w:pStyle w:val="Heading1"/>
      </w:pPr>
      <w:r>
        <w:t>SK SK SK</w:t>
      </w:r>
    </w:p>
    <w:p>
      <w:r>
        <w:t>179</w:t>
      </w:r>
    </w:p>
    <w:p>
      <w:r>
        <w:t>poskytovatelia, hospodárske subjekty</w:t>
      </w:r>
    </w:p>
    <w:p>
      <w:r>
        <w:t>Európskej komisie,</w:t>
      </w:r>
    </w:p>
    <w:p>
      <w:r>
        <w:t>Digitálne verejné služby;</w:t>
      </w:r>
    </w:p>
    <w:p>
      <w:r>
        <w:t>Členské štáty,</w:t>
      </w:r>
    </w:p>
    <w:p>
      <w:r>
        <w:t>Článok 128 Správa údajov siete interoperability</w:t>
      </w:r>
    </w:p>
    <w:p>
      <w:r>
        <w:t>Digitalizácia procesov a</w:t>
      </w:r>
    </w:p>
    <w:p>
      <w:r>
        <w:t>služba elektronického obstarávania</w:t>
      </w:r>
    </w:p>
    <w:p>
      <w:r>
        <w:t>automatizácia</w:t>
      </w:r>
    </w:p>
    <w:p>
      <w:r>
        <w:t>poskytovatelia</w:t>
      </w:r>
    </w:p>
    <w:p>
      <w:r>
        <w:t>Harmonizované normy Európska komisia,</w:t>
      </w:r>
    </w:p>
    <w:p>
      <w:r>
        <w:t>Články 129, 130</w:t>
      </w:r>
    </w:p>
    <w:p>
      <w:r>
        <w:t>v prípade členských štátov zapojených do verejného obstarávania digitalizácia procesov a</w:t>
      </w:r>
    </w:p>
    <w:p>
      <w:r>
        <w:t>Správa údajov</w:t>
      </w:r>
    </w:p>
    <w:p>
      <w:r>
        <w:t>a spoločná automatizácia služieb elektronického obstarávania</w:t>
      </w:r>
    </w:p>
    <w:p>
      <w:r>
        <w:t>poskytovatelia špecifikácií</w:t>
      </w:r>
    </w:p>
    <w:p>
      <w:r>
        <w:t>Povinnosti členských štátov,</w:t>
      </w:r>
    </w:p>
    <w:p>
      <w:r>
        <w:t>Digitálne riešenia;</w:t>
      </w:r>
    </w:p>
    <w:p>
      <w:r>
        <w:t>Článok 131 Služba elektronického obstarávania Elektronické špecifikácie služby elektronického obstarávania</w:t>
      </w:r>
    </w:p>
    <w:p>
      <w:r>
        <w:t>Digitálne verejné služby</w:t>
      </w:r>
    </w:p>
    <w:p>
      <w:r>
        <w:t>poskytovatelia</w:t>
      </w:r>
    </w:p>
    <w:p>
      <w:r>
        <w:t>Európskej komisie,</w:t>
      </w:r>
    </w:p>
    <w:p>
      <w:r>
        <w:t>Digitálne riešenia;</w:t>
      </w:r>
    </w:p>
    <w:p>
      <w:r>
        <w:t>Rozvoj digitálnych technológií Komisiou</w:t>
      </w:r>
    </w:p>
    <w:p>
      <w:r>
        <w:t>Článok 133 Členské štáty, verejnosť</w:t>
      </w:r>
    </w:p>
    <w:p>
      <w:r>
        <w:t>riešenie platformy elektronického obstarávania</w:t>
      </w:r>
    </w:p>
    <w:p>
      <w:r>
        <w:t>Digitálne verejné služby</w:t>
      </w:r>
    </w:p>
    <w:p>
      <w:r>
        <w:t>kupujúci</w:t>
      </w:r>
    </w:p>
    <w:p>
      <w:r>
        <w:t>Údaje;</w:t>
      </w:r>
    </w:p>
    <w:p>
      <w:r>
        <w:t>Európskej komisie,</w:t>
      </w:r>
    </w:p>
    <w:p>
      <w:r>
        <w:t>Digitálne riešenia;</w:t>
      </w:r>
    </w:p>
    <w:p>
      <w:r>
        <w:t>Elektronické oprávnené členské štáty, verejný rozvoj digitálneho</w:t>
      </w:r>
    </w:p>
    <w:p>
      <w:r>
        <w:t>Článok 131</w:t>
      </w:r>
    </w:p>
    <w:p>
      <w:r>
        <w:t>Digitálne verejné služby;</w:t>
      </w:r>
    </w:p>
    <w:p>
      <w:r>
        <w:t>kupujúci služieb, hospodárske subjekty zaoberajúce sa riešením Proces digitalizácie a</w:t>
      </w:r>
    </w:p>
    <w:p>
      <w:r>
        <w:t>automatizácia</w:t>
      </w:r>
    </w:p>
    <w:p>
      <w:r>
        <w:t>Článok 134 Verejné údaje členských štátov;</w:t>
      </w:r>
    </w:p>
    <w:p>
      <w:r>
        <w:t>Vnútroštátne IT a</w:t>
      </w:r>
    </w:p>
    <w:p>
      <w:pPr>
        <w:pStyle w:val="Heading1"/>
      </w:pPr>
      <w:r>
        <w:t>SK SK SK</w:t>
      </w:r>
    </w:p>
    <w:p>
      <w:r>
        <w:t>180</w:t>
      </w:r>
    </w:p>
    <w:p>
      <w:r>
        <w:t>Špecifikácie údajov o verejnom obstarávaní, digitálne riešenia;</w:t>
      </w:r>
    </w:p>
    <w:p>
      <w:r>
        <w:t>Rozvoj digitálnych priestorov</w:t>
      </w:r>
    </w:p>
    <w:p>
      <w:r>
        <w:t>Digitálne verejné služby;</w:t>
      </w:r>
    </w:p>
    <w:p>
      <w:r>
        <w:t>riešenie</w:t>
      </w:r>
    </w:p>
    <w:p>
      <w:r>
        <w:t>Digitalizácia a automatizácia procesov</w:t>
      </w:r>
    </w:p>
    <w:p>
      <w:r>
        <w:t>Údaje;</w:t>
      </w:r>
    </w:p>
    <w:p>
      <w:r>
        <w:t>IT a údaje</w:t>
      </w:r>
    </w:p>
    <w:p>
      <w:r>
        <w:t>Digitálne riešenia;</w:t>
      </w:r>
    </w:p>
    <w:p>
      <w:r>
        <w:t>Špecifikácie verejného obstarávania,</w:t>
      </w:r>
    </w:p>
    <w:p>
      <w:r>
        <w:t>Článok 135 Európska komisia</w:t>
      </w:r>
    </w:p>
    <w:p>
      <w:r>
        <w:t>Digitálne verejné služby;</w:t>
      </w:r>
    </w:p>
    <w:p>
      <w:r>
        <w:t>Rozvoj dátového priestoru pre digitálne riešenie Proces digitalizácie a</w:t>
      </w:r>
    </w:p>
    <w:p>
      <w:r>
        <w:t>automatizácia</w:t>
      </w:r>
    </w:p>
    <w:p>
      <w:r>
        <w:t>Digitálne verejné služby;</w:t>
      </w:r>
    </w:p>
    <w:p>
      <w:r>
        <w:t>Európskej komisie,</w:t>
      </w:r>
    </w:p>
    <w:p>
      <w:r>
        <w:t>Článok 136 Výmena údajov dátového priestoru pre verejné obstarávanie Výmena údajov</w:t>
      </w:r>
    </w:p>
    <w:p>
      <w:r>
        <w:t>Digitalizácia procesov a</w:t>
      </w:r>
    </w:p>
    <w:p>
      <w:r>
        <w:t>Členské štáty</w:t>
      </w:r>
    </w:p>
    <w:p>
      <w:r>
        <w:t>automatizácia</w:t>
      </w:r>
    </w:p>
    <w:p>
      <w:r>
        <w:t>4.2. Údaje</w:t>
      </w:r>
    </w:p>
    <w:p>
      <w:r>
        <w:t>Všeobecný opis údajov v rozsahu pôsobnosti a všetky súvisiace štandardy/špecifikácie</w:t>
      </w:r>
    </w:p>
    <w:p>
      <w:r>
        <w:t>Norma a/alebo špecifikácia (ak</w:t>
      </w:r>
    </w:p>
    <w:p>
      <w:r>
        <w:t>Typ údajov Odkaz na požiadavku (požiadavky)</w:t>
      </w:r>
    </w:p>
    <w:p>
      <w:r>
        <w:t>sa uplatňuje)</w:t>
      </w:r>
    </w:p>
    <w:p>
      <w:r>
        <w:t>Uverejnené informácie budú obsahovať informácie uvedené v článku 110. Ako sa stanovuje v článku 110 ods. 6 a 7,</w:t>
      </w:r>
    </w:p>
    <w:p>
      <w:r>
        <w:t>Údaje o uverejňovaní Článok 110</w:t>
      </w:r>
    </w:p>
    <w:p>
      <w:r>
        <w:t>Komisia to ďalej vymedzí prostredníctvom delegovaných a vykonávacích aktov.</w:t>
      </w:r>
    </w:p>
    <w:p>
      <w:pPr>
        <w:pStyle w:val="Heading1"/>
      </w:pPr>
      <w:r>
        <w:t>SK SK SK</w:t>
      </w:r>
    </w:p>
    <w:p>
      <w:r>
        <w:t>181</w:t>
      </w:r>
    </w:p>
    <w:p>
      <w:r>
        <w:t>Informácie stanovené v článku 134 sa sprístupnia na vnútroštátnej úrovni a na úrovni EÚ. Ako sa stanovuje v článku 134 ods. 7 a</w:t>
      </w:r>
    </w:p>
    <w:p>
      <w:r>
        <w:t>Všeobecné údaje o obstarávaní, článok 134, článok 135</w:t>
      </w:r>
    </w:p>
    <w:p>
      <w:r>
        <w:t>(8) a v článku 135 ods. 3 to Komisia ďalej vymedzí prostredníctvom delegovaných a vykonávacích aktov.</w:t>
      </w:r>
    </w:p>
    <w:p>
      <w:r>
        <w:t>Ako sa stanovuje v článku 133 ods. 3 a 6, dôkaz o dôvode na vylúčenie, dôkaz o podmienkach účasti, informácie o spoločnosti,</w:t>
      </w:r>
    </w:p>
    <w:p>
      <w:r>
        <w:t>Mali by sa poskytnúť údaje o dôkazných prostriedkoch Článok 133 a dôkazy o pôvode</w:t>
      </w:r>
    </w:p>
    <w:p>
      <w:r>
        <w:t>dostupné v nástroji digitálneho podnikového dokladu a zdieľateľné pre kupujúcich prostredníctvom elektronickej služby oprávnenosti.</w:t>
      </w:r>
    </w:p>
    <w:p>
      <w:r>
        <w:t>Zosúladenie s Európskou dátovou stratégiou</w:t>
      </w:r>
    </w:p>
    <w:p>
      <w:pPr>
        <w:pStyle w:val="Heading3"/>
        <w:jc w:val="center"/>
      </w:pPr>
      <w:r>
        <w:t>Vysvetlite, ako sú požiadavky zosúladené s Európskou dátovou stratégiou</w:t>
      </w:r>
    </w:p>
    <w:p>
      <w:r>
        <w:t>Návrh je v súlade s Európskou dátovou stratégiou, keďže sa ním nariaďuje výmena údajov smerom k dátovému priestoru pre verejné obstarávanie, a to aj zavedením národného dátového priestoru pre verejné obstarávanie v každom členskom štáte. Vďaka tomuto posilneniu sa posilní transparentnosť a zodpovednosť verejných výdavkov, boj proti korupcii a zlepšenie kvality výdavkov.</w:t>
      </w:r>
    </w:p>
    <w:p>
      <w:r>
        <w:t>Zosúladenie so zásadou „jedenkrát a dosť“</w:t>
      </w:r>
    </w:p>
    <w:p>
      <w:r>
        <w:t>Vysvetlite, ako sa zohľadnila zásada „jedenkrát a dosť“ a ako sa skúmala možnosť opätovného použitia existujúcich údajov</w:t>
      </w:r>
    </w:p>
    <w:p>
      <w:r>
        <w:t>V návrhu sa zásada „jedenkrát a dosť“ uvádza ako hlavná zásada. Vďaka používaniu elektronickej služby oprávnenosti a nástroja digitálneho podnikového dokladu bude mať hospodársky subjekt možnosť zdieľať dôkazy o účasti na postupe verejného obstarávania len raz.</w:t>
      </w:r>
    </w:p>
    <w:p>
      <w:r>
        <w:t>Vysvetlite, ako sú novo vytvorené údaje vyhľadateľné, prístupné, interoperabilné a opätovne použiteľné a ako spĺňajú štandardy vysokej kvality</w:t>
      </w:r>
    </w:p>
    <w:p>
      <w:pPr>
        <w:pStyle w:val="Heading1"/>
      </w:pPr>
      <w:r>
        <w:t>SK SK SK</w:t>
      </w:r>
    </w:p>
    <w:p>
      <w:r>
        <w:t>182</w:t>
      </w:r>
    </w:p>
    <w:p>
      <w:r>
        <w:t>Novovytvorené údaje rešpektujú zásady FAIR, keďže dátový priestor pre verejné obstarávanie bude bezpečne zhromažďovať, čistiť a zosúlaďovať všetky údaje získané od jednotlivých členských štátov. Tieto údaje budú k dispozícii, pričom na citlivé údaje sa budú vzťahovať určité obmedzenia, aby každý európsky občan mal prístup k údajom o verejnom obstarávaní a získal úplný prehľad o európskom trhu.</w:t>
      </w:r>
    </w:p>
    <w:p>
      <w:r>
        <w:t>Toky údajov</w:t>
      </w:r>
    </w:p>
    <w:p>
      <w:r>
        <w:t>Pre každý dátový tok vyplňte nasledujúcu tabuľku:</w:t>
      </w:r>
    </w:p>
    <w:p>
      <w:r>
        <w:t>Odkaz(-y) na aktéra, ktorý prijíma spúšťač frekvencie (ak</w:t>
      </w:r>
    </w:p>
    <w:p>
      <w:r>
        <w:t>Druh údajov</w:t>
      </w:r>
    </w:p>
    <w:p>
      <w:r>
        <w:t>požiadavka (požiadavky) poskytuje (poskytujú) údaje, ktoré sa majú vymieňať)</w:t>
      </w:r>
    </w:p>
    <w:p>
      <w:r>
        <w:t>Hospodárske subjekty Uverejnenie výzvy</w:t>
      </w:r>
    </w:p>
    <w:p>
      <w:r>
        <w:t>Údaje o uverejňovaní Článok 110 Obstarávatelia//</w:t>
      </w:r>
    </w:p>
    <w:p>
      <w:r>
        <w:t>v prípade verejných súťaží</w:t>
      </w:r>
    </w:p>
    <w:p>
      <w:r>
        <w:t>V závislosti od vnútroštátneho spúšťača</w:t>
      </w:r>
    </w:p>
    <w:p>
      <w:r>
        <w:t>Najneskôr do 20</w:t>
      </w:r>
    </w:p>
    <w:p>
      <w:r>
        <w:t>Všeobecná zodpovednosť za údaje</w:t>
      </w:r>
    </w:p>
    <w:p>
      <w:r>
        <w:t>Článok 134 Orgán pre NPPDS niekoľko dní po</w:t>
      </w:r>
    </w:p>
    <w:p>
      <w:r>
        <w:t>orgán pre údaje o verejnom obstarávaní vrátane kategórie, t. j.</w:t>
      </w:r>
    </w:p>
    <w:p>
      <w:r>
        <w:t>spúšťač</w:t>
      </w:r>
    </w:p>
    <w:p>
      <w:r>
        <w:t>uzavretie zmluvy s obstarávateľom</w:t>
      </w:r>
    </w:p>
    <w:p>
      <w:r>
        <w:t>Maximálne 10 dní po</w:t>
      </w:r>
    </w:p>
    <w:p>
      <w:r>
        <w:t>Všeobecná dostupnosť</w:t>
      </w:r>
    </w:p>
    <w:p>
      <w:r>
        <w:t>Článok 135 Úrad pre verejné obstarávanie NPPDS</w:t>
      </w:r>
    </w:p>
    <w:p>
      <w:r>
        <w:t>údaje o verejnom obstarávaní NPPDS</w:t>
      </w:r>
    </w:p>
    <w:p>
      <w:r>
        <w:t>NPPDS</w:t>
      </w:r>
    </w:p>
    <w:p>
      <w:r>
        <w:t>Údaje o spôsoboch predkladania</w:t>
      </w:r>
    </w:p>
    <w:p>
      <w:r>
        <w:t>Článok 133 Hospodárske subjekty Obstarávatelia//</w:t>
      </w:r>
    </w:p>
    <w:p>
      <w:r>
        <w:t>dôkaz o ponuke</w:t>
      </w:r>
    </w:p>
    <w:p>
      <w:r>
        <w:t>4.3. Digitálne riešenia</w:t>
      </w:r>
    </w:p>
    <w:p>
      <w:r>
        <w:t>Všeobecný opis digitálnych riešení</w:t>
      </w:r>
    </w:p>
    <w:p>
      <w:r>
        <w:t>Hlavný poverený zodpovedný</w:t>
      </w:r>
    </w:p>
    <w:p>
      <w:r>
        <w:t>Odkaz(-y) na How is Use of AI (Ako sa používa umelá inteligencia)</w:t>
      </w:r>
    </w:p>
    <w:p>
      <w:r>
        <w:t>Digitálne riešenie</w:t>
      </w:r>
    </w:p>
    <w:p>
      <w:r>
        <w:t>orgán pre funkcie</w:t>
      </w:r>
    </w:p>
    <w:p>
      <w:r>
        <w:t>technológie opätovnej použiteľnosti z hľadiska prístupnosti (ak</w:t>
      </w:r>
    </w:p>
    <w:p>
      <w:pPr>
        <w:pStyle w:val="Heading1"/>
      </w:pPr>
      <w:r>
        <w:t>SK SK SK</w:t>
      </w:r>
    </w:p>
    <w:p>
      <w:r>
        <w:t>183</w:t>
      </w:r>
    </w:p>
    <w:p>
      <w:r>
        <w:t>požiadavka (požiadavky), na ktorú (ktoré) sa prihliada? zohľadňuje? uplatňuje sa)</w:t>
      </w:r>
    </w:p>
    <w:p>
      <w:pPr>
        <w:pStyle w:val="Heading3"/>
        <w:jc w:val="center"/>
      </w:pPr>
      <w:r>
        <w:t>The</w:t>
      </w:r>
    </w:p>
    <w:p>
      <w:r>
        <w:t>platformy elektronického obstarávania:</w:t>
      </w:r>
    </w:p>
    <w:p>
      <w:r>
        <w:t>Byť v zhode s harmonizovanými normami,</w:t>
      </w:r>
    </w:p>
    <w:p>
      <w:r>
        <w:t>Pripojiť sa k interoperabilite</w:t>
      </w:r>
    </w:p>
    <w:p>
      <w:r>
        <w:t>elektronické verejné obstarávanie</w:t>
      </w:r>
    </w:p>
    <w:p>
      <w:r>
        <w:t>sieť</w:t>
      </w:r>
    </w:p>
    <w:p>
      <w:r>
        <w:t>elektronické obstarávanie, článok 127,</w:t>
      </w:r>
    </w:p>
    <w:p>
      <w:r>
        <w:t>služby neuvedené</w:t>
      </w:r>
    </w:p>
    <w:p>
      <w:r>
        <w:t>platformy Článok 131</w:t>
      </w:r>
    </w:p>
    <w:p>
      <w:r>
        <w:t>Zabezpečiť prístup k</w:t>
      </w:r>
    </w:p>
    <w:p>
      <w:r>
        <w:t>poskytovatelia</w:t>
      </w:r>
    </w:p>
    <w:p>
      <w:r>
        <w:t>údaje o verejnom obstarávaní</w:t>
      </w:r>
    </w:p>
    <w:p>
      <w:r>
        <w:t>Byť napojené na elektronické služby týkajúce sa oprávnenosti</w:t>
      </w:r>
    </w:p>
    <w:p>
      <w:r>
        <w:t>Pripojiť sa k NPPDS</w:t>
      </w:r>
    </w:p>
    <w:p>
      <w:r>
        <w:t>Jeho cieľom je:</w:t>
      </w:r>
    </w:p>
    <w:p>
      <w:r>
        <w:t>Komisia</w:t>
      </w:r>
    </w:p>
    <w:p>
      <w:r>
        <w:t>Platforma</w:t>
      </w:r>
    </w:p>
    <w:p>
      <w:r>
        <w:t>moduly opätovného použitia</w:t>
      </w:r>
    </w:p>
    <w:p>
      <w:r>
        <w:t>Elektronické obstarávanie Komisie</w:t>
      </w:r>
    </w:p>
    <w:p>
      <w:r>
        <w:t>bude</w:t>
      </w:r>
    </w:p>
    <w:p>
      <w:r>
        <w:t>Európska</w:t>
      </w:r>
    </w:p>
    <w:p>
      <w:r>
        <w:t>už existujúce</w:t>
      </w:r>
    </w:p>
    <w:p>
      <w:r>
        <w:t>platforma elektronického obstarávania podľa článku 132: NEUVEDENÝ</w:t>
      </w:r>
    </w:p>
    <w:p>
      <w:r>
        <w:t>vyvinuté do</w:t>
      </w:r>
    </w:p>
    <w:p>
      <w:r>
        <w:t>Komisia</w:t>
      </w:r>
    </w:p>
    <w:p>
      <w:r>
        <w:t>v Európskom</w:t>
      </w:r>
    </w:p>
    <w:p>
      <w:r>
        <w:t>platforma</w:t>
      </w:r>
    </w:p>
    <w:p>
      <w:r>
        <w:t>zohľadniť</w:t>
      </w:r>
    </w:p>
    <w:p>
      <w:r>
        <w:t>Byť v súlade</w:t>
      </w:r>
    </w:p>
    <w:p>
      <w:r>
        <w:t>Komisia alebo</w:t>
      </w:r>
    </w:p>
    <w:p>
      <w:r>
        <w:t>prístupnosť</w:t>
      </w:r>
    </w:p>
    <w:p>
      <w:r>
        <w:t>s harmonizovanými</w:t>
      </w:r>
    </w:p>
    <w:p>
      <w:r>
        <w:t>v členskom</w:t>
      </w:r>
    </w:p>
    <w:p>
      <w:pPr>
        <w:pStyle w:val="Heading1"/>
      </w:pPr>
      <w:r>
        <w:t>SK SK SK</w:t>
      </w:r>
    </w:p>
    <w:p>
      <w:r>
        <w:t>184</w:t>
      </w:r>
    </w:p>
    <w:p>
      <w:r>
        <w:t>normy, požiadavky. Štáty, ktoré sa majú vybudovať</w:t>
      </w:r>
    </w:p>
    <w:p>
      <w:r>
        <w:t>the</w:t>
      </w:r>
    </w:p>
    <w:p>
      <w:r>
        <w:t>Pripojte sa k</w:t>
      </w:r>
    </w:p>
    <w:p>
      <w:r>
        <w:t>elektronické verejné obstarávanie</w:t>
      </w:r>
    </w:p>
    <w:p>
      <w:r>
        <w:t>interoperabilita na železniciach</w:t>
      </w:r>
    </w:p>
    <w:p>
      <w:r>
        <w:t>platforma, ktorá</w:t>
      </w:r>
    </w:p>
    <w:p>
      <w:r>
        <w:t>sieť</w:t>
      </w:r>
    </w:p>
    <w:p>
      <w:r>
        <w:t>budú poskytnuté</w:t>
      </w:r>
    </w:p>
    <w:p>
      <w:r>
        <w:t>Zabezpečiť prístup k</w:t>
      </w:r>
    </w:p>
    <w:p>
      <w:r>
        <w:t>Európskym</w:t>
      </w:r>
    </w:p>
    <w:p>
      <w:r>
        <w:t>obstarávanie</w:t>
      </w:r>
    </w:p>
    <w:p>
      <w:r>
        <w:t>Komisia.</w:t>
      </w:r>
    </w:p>
    <w:p>
      <w:r>
        <w:t>podrobnosti</w:t>
      </w:r>
    </w:p>
    <w:p>
      <w:r>
        <w:t>Plná platforma</w:t>
      </w:r>
    </w:p>
    <w:p>
      <w:r>
        <w:t>Byť napojený na</w:t>
      </w:r>
    </w:p>
    <w:p>
      <w:r>
        <w:t>k dispozícii ako</w:t>
      </w:r>
    </w:p>
    <w:p>
      <w:r>
        <w:t>the</w:t>
      </w:r>
    </w:p>
    <w:p>
      <w:r>
        <w:t>otvorený zdroj.</w:t>
      </w:r>
    </w:p>
    <w:p>
      <w:r>
        <w:t>elektronická pohostinská služba</w:t>
      </w:r>
    </w:p>
    <w:p>
      <w:r>
        <w:t>Pripojte sa k</w:t>
      </w:r>
    </w:p>
    <w:p>
      <w:pPr>
        <w:pStyle w:val="Heading3"/>
        <w:jc w:val="center"/>
      </w:pPr>
      <w:r>
        <w:t>JADROVÉ ELEKTRÁRNE</w:t>
      </w:r>
    </w:p>
    <w:p>
      <w:r>
        <w:t>Jeho cieľom je:</w:t>
      </w:r>
    </w:p>
    <w:p>
      <w:r>
        <w:t>V elektronickej podobe</w:t>
      </w:r>
    </w:p>
    <w:p>
      <w:r>
        <w:t>moduly opätovného použitia</w:t>
      </w:r>
    </w:p>
    <w:p>
      <w:r>
        <w:t>oprávnenosť</w:t>
      </w:r>
    </w:p>
    <w:p>
      <w:r>
        <w:t>už existujúce</w:t>
      </w:r>
    </w:p>
    <w:p>
      <w:r>
        <w:t>doručenie:</w:t>
      </w:r>
    </w:p>
    <w:p>
      <w:r>
        <w:t>v Európskom</w:t>
      </w:r>
    </w:p>
    <w:p>
      <w:r>
        <w:t>Platforma</w:t>
      </w:r>
    </w:p>
    <w:p>
      <w:r>
        <w:t>Umožniť digitálnu Komisiu,</w:t>
      </w:r>
    </w:p>
    <w:p>
      <w:r>
        <w:t>bude</w:t>
      </w:r>
    </w:p>
    <w:p>
      <w:r>
        <w:t>Elektronické overovanie, ako napríklad eCertis</w:t>
      </w:r>
    </w:p>
    <w:p>
      <w:r>
        <w:t>Európska únia vyvinutá do</w:t>
      </w:r>
    </w:p>
    <w:p>
      <w:r>
        <w:t>oprávnenosť podľa článku 133 – spoločnosť a jednotný európsky dokument pre obstarávanie, neuvádza sa</w:t>
      </w:r>
    </w:p>
    <w:p>
      <w:r>
        <w:t>Komisia berie do úvahy</w:t>
      </w:r>
    </w:p>
    <w:p>
      <w:r>
        <w:t>informácie o službách na vytvorenie</w:t>
      </w:r>
    </w:p>
    <w:p>
      <w:r>
        <w:t>prístupnosť</w:t>
      </w:r>
    </w:p>
    <w:p>
      <w:r>
        <w:t>služby vylúčenia a do</w:t>
      </w:r>
    </w:p>
    <w:p>
      <w:r>
        <w:t>požiadavkám.</w:t>
      </w:r>
    </w:p>
    <w:p>
      <w:r>
        <w:t>zdôvodnite, spojte ho s</w:t>
      </w:r>
    </w:p>
    <w:p>
      <w:r>
        <w:t>podmienky účasti digitálne podnikanie</w:t>
      </w:r>
    </w:p>
    <w:p>
      <w:r>
        <w:t>a nástroj na udeľovanie certifikátov.</w:t>
      </w:r>
    </w:p>
    <w:p>
      <w:r>
        <w:t>požiadavky</w:t>
      </w:r>
    </w:p>
    <w:p>
      <w:r>
        <w:t>Služba v plnom rozsahu</w:t>
      </w:r>
    </w:p>
    <w:p>
      <w:pPr>
        <w:pStyle w:val="Heading1"/>
      </w:pPr>
      <w:r>
        <w:t>SK SK SK</w:t>
      </w:r>
    </w:p>
    <w:p>
      <w:r>
        <w:t>185</w:t>
      </w:r>
    </w:p>
    <w:p>
      <w:r>
        <w:t>pôvod je k dispozícii ako otvorený zdroj.</w:t>
      </w:r>
    </w:p>
    <w:p>
      <w:r>
        <w:t>Národná</w:t>
      </w:r>
    </w:p>
    <w:p>
      <w:pPr>
        <w:pStyle w:val="Heading3"/>
        <w:jc w:val="center"/>
      </w:pPr>
      <w:r>
        <w:t>Verejné</w:t>
      </w:r>
    </w:p>
    <w:p>
      <w:r>
        <w:t>Dátové priestory pre obstarávanie:</w:t>
      </w:r>
    </w:p>
    <w:p>
      <w:r>
        <w:t>Napojenie národnej verejnosti na</w:t>
      </w:r>
    </w:p>
    <w:p>
      <w:r>
        <w:t>Verejné obstarávanie Článok 134 Verejné členské štáty</w:t>
      </w:r>
    </w:p>
    <w:p>
      <w:r>
        <w:t>Dátový priestor pre obstarávanie dátových priestorov</w:t>
      </w:r>
    </w:p>
    <w:p>
      <w:r>
        <w:t>Zabezpečiť, aby boli k dispozícii všetky údaje z rôznych zdrojov</w:t>
      </w:r>
    </w:p>
    <w:p>
      <w:r>
        <w:t>The Public Verejnosť</w:t>
      </w:r>
    </w:p>
    <w:p>
      <w:r>
        <w:t>Dátový priestor pre obstarávanie</w:t>
      </w:r>
    </w:p>
    <w:p>
      <w:r>
        <w:t>Platforma</w:t>
      </w:r>
    </w:p>
    <w:p>
      <w:r>
        <w:t>ďalej:</w:t>
      </w:r>
    </w:p>
    <w:p>
      <w:r>
        <w:t>bude</w:t>
      </w:r>
    </w:p>
    <w:p>
      <w:r>
        <w:t>Verejné</w:t>
      </w:r>
    </w:p>
    <w:p>
      <w:r>
        <w:t>Európska únia vyvinutá do</w:t>
      </w:r>
    </w:p>
    <w:p>
      <w:r>
        <w:t>Verejne obsahovať</w:t>
      </w:r>
    </w:p>
    <w:p>
      <w:r>
        <w:t>Obstarávanie Článok 135 Neuplatňuje sa</w:t>
      </w:r>
    </w:p>
    <w:p>
      <w:r>
        <w:t>Komisia berie do úvahy</w:t>
      </w:r>
    </w:p>
    <w:p>
      <w:r>
        <w:t>dostupné údaje</w:t>
      </w:r>
    </w:p>
    <w:p>
      <w:r>
        <w:t>Dátový priestor</w:t>
      </w:r>
    </w:p>
    <w:p>
      <w:r>
        <w:t>prístupnosť</w:t>
      </w:r>
    </w:p>
    <w:p>
      <w:r>
        <w:t>a údaje, ktoré sú</w:t>
      </w:r>
    </w:p>
    <w:p>
      <w:r>
        <w:t>požiadavkám.</w:t>
      </w:r>
    </w:p>
    <w:p>
      <w:r>
        <w:t>nie verejne</w:t>
      </w:r>
    </w:p>
    <w:p>
      <w:r>
        <w:t>dostupné</w:t>
      </w:r>
    </w:p>
    <w:p>
      <w:r>
        <w:t>Umožniť</w:t>
      </w:r>
    </w:p>
    <w:p>
      <w:pPr>
        <w:pStyle w:val="Heading1"/>
      </w:pPr>
      <w:r>
        <w:t>SK SK SK</w:t>
      </w:r>
    </w:p>
    <w:p>
      <w:r>
        <w:t>186</w:t>
      </w:r>
    </w:p>
    <w:p>
      <w:r>
        <w:t>rôzne prístupové práva</w:t>
      </w:r>
    </w:p>
    <w:p>
      <w:r>
        <w:t>Pre každé digitálne riešenie vysvetlenie, ako je digitálne riešenie v súlade s platnými digitálnymi politikami a právnymi predpismi</w:t>
      </w:r>
    </w:p>
    <w:p>
      <w:r>
        <w:t>Platforma Komisie pre elektronické obstarávanie</w:t>
      </w:r>
    </w:p>
    <w:p>
      <w:r>
        <w:t>Digitálna a/alebo odvetvová politika</w:t>
      </w:r>
    </w:p>
    <w:p>
      <w:r>
        <w:t>Vysvetlenie spôsobu zosúladenia</w:t>
      </w:r>
    </w:p>
    <w:p>
      <w:r>
        <w:t>(ak sú uplatniteľné)</w:t>
      </w:r>
    </w:p>
    <w:p>
      <w:r>
        <w:t>V prípade základných právnych povinností sa nepredpokladá žiadne rozhodovanie založené na umelej inteligencii. V prípade automatizovaného rizika</w:t>
      </w:r>
    </w:p>
    <w:p>
      <w:r>
        <w:t>Zavedie sa odhaľovanie, určovanie poradia, odporúčanie alebo analýza podvodov podľa aktu o umelej inteligencii, vykoná sa posúdenie rizík/dodržiavania predpisov podľa aktu o umelej inteligencii.</w:t>
      </w:r>
    </w:p>
    <w:p>
      <w:r>
        <w:t>Bez toho, aby bolo dotknuté nariadenie (EÚ) 2016/679, členské štáty zaistia bezpečnosť,</w:t>
      </w:r>
    </w:p>
    <w:p>
      <w:r>
        <w:t>Integrita rámca kybernetickej bezpečnosti EÚ, pravosť a dôvernosť údajov zozbieraných a uchovávaných na účely tohto nariadenia. Podrobnejšie informácie sa uvedú v technických špecifikáciách.</w:t>
      </w:r>
    </w:p>
    <w:p>
      <w:r>
        <w:t>eIDAS eIDAS nemusia byť relevantné pre identifikáciu, autentifikáciu a výmenu certifikátov.</w:t>
      </w:r>
    </w:p>
    <w:p>
      <w:r>
        <w:t>Jednotná digitálna brána a jednotná digitálna brána IMI a IMI sa v tejto fáze nepoužívajú ako kanály implementácie.</w:t>
      </w:r>
    </w:p>
    <w:p>
      <w:r>
        <w:t>Ostatné//</w:t>
      </w:r>
    </w:p>
    <w:p>
      <w:r>
        <w:t>Platforma Komisie pre elektronické obstarávanie</w:t>
      </w:r>
    </w:p>
    <w:p>
      <w:r>
        <w:t>Digitálna a/alebo odvetvová politika</w:t>
      </w:r>
    </w:p>
    <w:p>
      <w:r>
        <w:t>Vysvetlenie spôsobu zosúladenia</w:t>
      </w:r>
    </w:p>
    <w:p>
      <w:r>
        <w:t>(ak sú uplatniteľné)</w:t>
      </w:r>
    </w:p>
    <w:p>
      <w:r>
        <w:t>V prípade základných právnych povinností sa nepredpokladá žiadne rozhodovanie založené na umelej inteligencii. V prípade automatizovaného rizika</w:t>
      </w:r>
    </w:p>
    <w:p>
      <w:r>
        <w:t>Akt o umelej inteligencii</w:t>
      </w:r>
    </w:p>
    <w:p>
      <w:r>
        <w:t>zavádza sa akt o umelej inteligencii, ktorým sa odhaľuje, zoraďuje, odporúča alebo analyzuje podvod</w:t>
      </w:r>
    </w:p>
    <w:p>
      <w:pPr>
        <w:pStyle w:val="Heading1"/>
      </w:pPr>
      <w:r>
        <w:t>SK SK SK</w:t>
      </w:r>
    </w:p>
    <w:p>
      <w:r>
        <w:t>187</w:t>
      </w:r>
    </w:p>
    <w:p>
      <w:r>
        <w:t>Digitálna a/alebo odvetvová politika</w:t>
      </w:r>
    </w:p>
    <w:p>
      <w:r>
        <w:t>Vysvetlenie spôsobu zosúladenia</w:t>
      </w:r>
    </w:p>
    <w:p>
      <w:r>
        <w:t>(ak sú uplatniteľné)</w:t>
      </w:r>
    </w:p>
    <w:p>
      <w:r>
        <w:t>vykoná sa posúdenie rizík/dodržiavania predpisov.</w:t>
      </w:r>
    </w:p>
    <w:p>
      <w:r>
        <w:t>Bez toho, aby bolo dotknuté nariadenie (EÚ) 2016/679, členské štáty zaistia bezpečnosť,</w:t>
      </w:r>
    </w:p>
    <w:p>
      <w:r>
        <w:t>Integrita rámca kybernetickej bezpečnosti EÚ, pravosť a dôvernosť údajov zozbieraných a uchovávaných na účely tohto nariadenia. Podrobnejšie informácie sa uvedú v technických špecifikáciách.</w:t>
      </w:r>
    </w:p>
    <w:p>
      <w:r>
        <w:t>eIDAS eIDAS nemusia byť relevantné pre identifikáciu, autentifikáciu a výmenu certifikátov.</w:t>
      </w:r>
    </w:p>
    <w:p>
      <w:r>
        <w:t>Jednotná digitálna brána a jednotná digitálna brána IMI a IMI sa v tejto fáze nepoužívajú ako kanály implementácie.</w:t>
      </w:r>
    </w:p>
    <w:p>
      <w:r>
        <w:t>Ostatné//</w:t>
      </w:r>
    </w:p>
    <w:p>
      <w:r>
        <w:t>Elektronická služba pre oprávnenosť</w:t>
      </w:r>
    </w:p>
    <w:p>
      <w:r>
        <w:t>Digitálna a/alebo odvetvová politika</w:t>
      </w:r>
    </w:p>
    <w:p>
      <w:r>
        <w:t>Vysvetlenie spôsobu zosúladenia</w:t>
      </w:r>
    </w:p>
    <w:p>
      <w:r>
        <w:t>(ak sú uplatniteľné)</w:t>
      </w:r>
    </w:p>
    <w:p>
      <w:r>
        <w:t>V prípade základných právnych povinností sa nepredpokladá žiadne rozhodovanie založené na umelej inteligencii. V prípade automatizovaného rizika</w:t>
      </w:r>
    </w:p>
    <w:p>
      <w:r>
        <w:t>Zavedie sa odhaľovanie, určovanie poradia, odporúčanie alebo analýza podvodov podľa aktu o umelej inteligencii, vykoná sa posúdenie rizík/dodržiavania predpisov podľa aktu o umelej inteligencii.</w:t>
      </w:r>
    </w:p>
    <w:p>
      <w:r>
        <w:t>Bez toho, aby bolo dotknuté nariadenie (EÚ) 2016/679, členské štáty zaistia bezpečnosť,</w:t>
      </w:r>
    </w:p>
    <w:p>
      <w:r>
        <w:t>Integrita rámca kybernetickej bezpečnosti EÚ, pravosť a dôvernosť údajov zozbieraných a uchovávaných na účely tohto nariadenia. Podrobnejšie informácie sa uvedú v technických špecifikáciách.</w:t>
      </w:r>
    </w:p>
    <w:p>
      <w:r>
        <w:t>eIDAS eIDAS nemusia byť relevantné pre identifikáciu, autentifikáciu a výmenu certifikátov.</w:t>
      </w:r>
    </w:p>
    <w:p>
      <w:pPr>
        <w:pStyle w:val="Heading1"/>
      </w:pPr>
      <w:r>
        <w:t>SK SK SK</w:t>
      </w:r>
    </w:p>
    <w:p>
      <w:r>
        <w:t>188</w:t>
      </w:r>
    </w:p>
    <w:p>
      <w:r>
        <w:t>Jednotná digitálna brána a jednotná digitálna brána IMI a IMI sa v tejto fáze nepoužívajú ako kanály implementácie.</w:t>
      </w:r>
    </w:p>
    <w:p>
      <w:r>
        <w:t>Ostatné//</w:t>
      </w:r>
    </w:p>
    <w:p>
      <w:r>
        <w:t>Vnútroštátne dátové priestory pre verejné obstarávanie</w:t>
      </w:r>
    </w:p>
    <w:p>
      <w:r>
        <w:t>Digitálna a/alebo odvetvová politika</w:t>
      </w:r>
    </w:p>
    <w:p>
      <w:r>
        <w:t>Vysvetlenie spôsobu zosúladenia</w:t>
      </w:r>
    </w:p>
    <w:p>
      <w:r>
        <w:t>(ak sú uplatniteľné)</w:t>
      </w:r>
    </w:p>
    <w:p>
      <w:r>
        <w:t>V prípade základných právnych povinností sa nepredpokladá žiadne rozhodovanie založené na umelej inteligencii. V prípade automatizovaného rizika</w:t>
      </w:r>
    </w:p>
    <w:p>
      <w:r>
        <w:t>Zavedie sa odhaľovanie, určovanie poradia, odporúčanie alebo analýza podvodov podľa aktu o umelej inteligencii, vykoná sa posúdenie rizík/dodržiavania predpisov podľa aktu o umelej inteligencii.</w:t>
      </w:r>
    </w:p>
    <w:p>
      <w:r>
        <w:t>Bez toho, aby bolo dotknuté nariadenie (EÚ) 2016/679, členské štáty zaistia bezpečnosť,</w:t>
      </w:r>
    </w:p>
    <w:p>
      <w:r>
        <w:t>Integrita rámca kybernetickej bezpečnosti EÚ, pravosť a dôvernosť údajov zozbieraných a uchovávaných na účely tohto nariadenia. Podrobnejšie informácie sa uvedú v technických špecifikáciách.</w:t>
      </w:r>
    </w:p>
    <w:p>
      <w:r>
        <w:t>eIDAS eIDAS nemusia byť relevantné pre identifikáciu, autentifikáciu a výmenu certifikátov.</w:t>
      </w:r>
    </w:p>
    <w:p>
      <w:r>
        <w:t>Jednotná digitálna brána a jednotná digitálna brána IMI a IMI sa v tejto fáze nepoužívajú ako kanály implementácie.</w:t>
      </w:r>
    </w:p>
    <w:p>
      <w:r>
        <w:t>Ostatné//</w:t>
      </w:r>
    </w:p>
    <w:p>
      <w:r>
        <w:t>Dátový priestor pre verejné obstarávanie</w:t>
      </w:r>
    </w:p>
    <w:p>
      <w:r>
        <w:t>Digitálna a/alebo odvetvová politika</w:t>
      </w:r>
    </w:p>
    <w:p>
      <w:r>
        <w:t>Vysvetlenie spôsobu zosúladenia</w:t>
      </w:r>
    </w:p>
    <w:p>
      <w:r>
        <w:t>(ak sú uplatniteľné)</w:t>
      </w:r>
    </w:p>
    <w:p>
      <w:pPr>
        <w:pStyle w:val="Heading1"/>
      </w:pPr>
      <w:r>
        <w:t>SK SK SK</w:t>
      </w:r>
    </w:p>
    <w:p>
      <w:r>
        <w:t>189</w:t>
      </w:r>
    </w:p>
    <w:p>
      <w:r>
        <w:t>V prípade základných právnych povinností sa nepredpokladá žiadne rozhodovanie založené na umelej inteligencii. V prípade automatizovaného rizika</w:t>
      </w:r>
    </w:p>
    <w:p>
      <w:r>
        <w:t>Zavedie sa odhaľovanie, určovanie poradia, odporúčanie alebo analýza podvodov podľa aktu o umelej inteligencii, vykoná sa posúdenie rizík/dodržiavania predpisov podľa aktu o umelej inteligencii.</w:t>
      </w:r>
    </w:p>
    <w:p>
      <w:r>
        <w:t>Bez toho, aby bolo dotknuté nariadenie (EÚ) 2016/679, členské štáty zaistia bezpečnosť,</w:t>
      </w:r>
    </w:p>
    <w:p>
      <w:r>
        <w:t>Integrita rámca kybernetickej bezpečnosti EÚ, pravosť a dôvernosť údajov zozbieraných a uchovávaných na účely tohto nariadenia. Podrobnejšie informácie sa uvedú v technických špecifikáciách.</w:t>
      </w:r>
    </w:p>
    <w:p>
      <w:r>
        <w:t>eIDAS eIDAS nemusia byť relevantné pre identifikáciu, autentifikáciu a výmenu certifikátov.</w:t>
      </w:r>
    </w:p>
    <w:p>
      <w:r>
        <w:t>Jednotná digitálna brána a jednotná digitálna brána IMI a IMI sa v tejto fáze nepoužívajú ako kanály implementácie.</w:t>
      </w:r>
    </w:p>
    <w:p>
      <w:r>
        <w:t>Ostatné//</w:t>
      </w:r>
    </w:p>
    <w:p>
      <w:r>
        <w:t>4.4. Posúdenie interoperability</w:t>
      </w:r>
    </w:p>
    <w:p>
      <w:r>
        <w:t>Opíšte digitálnu (-e) verejnú (-é) službu (-y), na ktorú (-é) sa požiadavky vzťahujú</w:t>
      </w:r>
    </w:p>
    <w:p>
      <w:r>
        <w:t>Digitálna verejná služba</w:t>
      </w:r>
    </w:p>
    <w:p>
      <w:r>
        <w:t>Odkaz(-y) na interoperabilnú Európu Iná interoperabilita</w:t>
      </w:r>
    </w:p>
    <w:p>
      <w:r>
        <w:t>alebo kategória digitálneho opisu</w:t>
      </w:r>
    </w:p>
    <w:p>
      <w:r>
        <w:t>roztok(-y) na použitie v rámci požiadaviek</w:t>
      </w:r>
    </w:p>
    <w:p>
      <w:r>
        <w:t>verejné služby</w:t>
      </w:r>
    </w:p>
    <w:p>
      <w:pPr>
        <w:pStyle w:val="Heading3"/>
        <w:jc w:val="center"/>
      </w:pPr>
      <w:r>
        <w:t>Sieť interoperability</w:t>
      </w:r>
    </w:p>
    <w:p>
      <w:r>
        <w:t>bude používať</w:t>
      </w:r>
    </w:p>
    <w:p>
      <w:r>
        <w:t>platformy elektronického obstarávania</w:t>
      </w:r>
    </w:p>
    <w:p>
      <w:r>
        <w:t>Sieť interoperability Článok 129, článok 129//</w:t>
      </w:r>
    </w:p>
    <w:p>
      <w:r>
        <w:t>vymieňať si údaje so všetkými ostatnými prepojenými platformami elektronického obstarávania.</w:t>
      </w:r>
    </w:p>
    <w:p>
      <w:r>
        <w:t>platformy elektronického obstarávania Všetky platformy podľa článku 131, článku 132 DCAT_AP//</w:t>
      </w:r>
    </w:p>
    <w:p>
      <w:pPr>
        <w:pStyle w:val="Heading1"/>
      </w:pPr>
      <w:r>
        <w:t>SK SK SK</w:t>
      </w:r>
    </w:p>
    <w:p>
      <w:r>
        <w:t>190</w:t>
      </w:r>
    </w:p>
    <w:p>
      <w:r>
        <w:t>Európska únia bude hlavnými slovníkmi</w:t>
      </w:r>
    </w:p>
    <w:p>
      <w:r>
        <w:t>prepojené prostredníctvom</w:t>
      </w:r>
    </w:p>
    <w:p>
      <w:r>
        <w:t>vykonávanie</w:t>
      </w:r>
    </w:p>
    <w:p>
      <w:r>
        <w:t>normy a</w:t>
      </w:r>
    </w:p>
    <w:p>
      <w:r>
        <w:t>výmena údajov prostredníctvom siete interoperability.</w:t>
      </w:r>
    </w:p>
    <w:p>
      <w:pPr>
        <w:pStyle w:val="Heading3"/>
        <w:jc w:val="center"/>
      </w:pPr>
      <w:r>
        <w:t>Elektronická oprávnenosť</w:t>
      </w:r>
    </w:p>
    <w:p>
      <w:r>
        <w:t>služba bude</w:t>
      </w:r>
    </w:p>
    <w:p>
      <w:r>
        <w:t>prepojené s digitálnymi technológiami</w:t>
      </w:r>
    </w:p>
    <w:p>
      <w:r>
        <w:t>Elektronické nástroje podnikateľských certifikátov oprávnenosti</w:t>
      </w:r>
    </w:p>
    <w:p>
      <w:r>
        <w:t>Článok 133 Základné slovníky//</w:t>
      </w:r>
    </w:p>
    <w:p>
      <w:r>
        <w:t>služba pre hospodárske subjekty na preukázanie ich súladu s dôvodmi na vylúčenie.</w:t>
      </w:r>
    </w:p>
    <w:p>
      <w:pPr>
        <w:pStyle w:val="Heading3"/>
        <w:jc w:val="center"/>
      </w:pPr>
      <w:r>
        <w:t>Dátový priestor pre verejné obstarávanie bude zhromaždený</w:t>
      </w:r>
    </w:p>
    <w:p>
      <w:r>
        <w:t>informácie o oznámení od</w:t>
      </w:r>
    </w:p>
    <w:p>
      <w:r>
        <w:t>DCAT_AP</w:t>
      </w:r>
    </w:p>
    <w:p>
      <w:r>
        <w:t>Verejné obstarávanie, článok 134, článok</w:t>
      </w:r>
    </w:p>
    <w:p>
      <w:r>
        <w:t>každá národná ontológia elektronického verejného obstarávania</w:t>
      </w:r>
    </w:p>
    <w:p>
      <w:r>
        <w:t>Dátový priestor 135, článok 138</w:t>
      </w:r>
    </w:p>
    <w:p>
      <w:r>
        <w:t>Základné slovníky</w:t>
      </w:r>
    </w:p>
    <w:p>
      <w:pPr>
        <w:pStyle w:val="Heading3"/>
        <w:jc w:val="center"/>
      </w:pPr>
      <w:r>
        <w:t>Dátové priestory verejného obstarávania prostredníctvom</w:t>
      </w:r>
    </w:p>
    <w:p>
      <w:r>
        <w:t>Výmena údajov PPD.</w:t>
      </w:r>
    </w:p>
    <w:p>
      <w:r>
        <w:t>Posúďte vplyv požiadavky (-iek) na cezhraničnú interoperabilitu</w:t>
      </w:r>
    </w:p>
    <w:p>
      <w:r>
        <w:t>Digitálna verejná služba č. 1: Sieť interoperability</w:t>
      </w:r>
    </w:p>
    <w:p>
      <w:pPr>
        <w:pStyle w:val="Heading1"/>
      </w:pPr>
      <w:r>
        <w:t>SK SK SK</w:t>
      </w:r>
    </w:p>
    <w:p>
      <w:r>
        <w:t>191</w:t>
      </w:r>
    </w:p>
    <w:p>
      <w:r>
        <w:t>Potenciálne zostávajúce prekážky (ak</w:t>
      </w:r>
    </w:p>
    <w:p>
      <w:r>
        <w:t>Hodnotiace opatrenie(-a)</w:t>
      </w:r>
    </w:p>
    <w:p>
      <w:r>
        <w:t>sa uplatňuje)</w:t>
      </w:r>
    </w:p>
    <w:p>
      <w:r>
        <w:t>Zosúladenie s viacerými odvetvovými</w:t>
      </w:r>
    </w:p>
    <w:p>
      <w:r>
        <w:t>Zosúladenie s existujúcimi digitálnymi a</w:t>
      </w:r>
    </w:p>
    <w:p>
      <w:r>
        <w:t>Vykonávací akt poskytne podrobné politiky, ako je smernica (EÚ)</w:t>
      </w:r>
    </w:p>
    <w:p>
      <w:r>
        <w:t>sektorové politiky. Uveďte zoznam</w:t>
      </w:r>
    </w:p>
    <w:p>
      <w:r>
        <w:t>ďalšie informácie a bude sa zaoberať 2023/1791, nariadením (EÚ) 2019/1242,</w:t>
      </w:r>
    </w:p>
    <w:p>
      <w:r>
        <w:t>uplatniteľné digitálne a odvetvové politiky</w:t>
      </w:r>
    </w:p>
    <w:p>
      <w:r>
        <w:t>sektorové spisy. Nariadenie (EÚ) 2023/1542, nariadenie</w:t>
      </w:r>
    </w:p>
    <w:p>
      <w:r>
        <w:t>identifikované</w:t>
      </w:r>
    </w:p>
    <w:p>
      <w:r>
        <w:t>(EÚ) 2024/1781, smernica 2009/33/ES</w:t>
      </w:r>
    </w:p>
    <w:p>
      <w:r>
        <w:t>Organizačné opatrenia na zabezpečenie hladkého priebehu</w:t>
      </w:r>
    </w:p>
    <w:p>
      <w:r>
        <w:t>V hlavnom právnom akte sa predpokladá riadenie</w:t>
      </w:r>
    </w:p>
    <w:p>
      <w:r>
        <w:t>cezhraničné digitálne verejné služby</w:t>
      </w:r>
    </w:p>
    <w:p>
      <w:r>
        <w:t>sieť interoperability a údaje dátového priestoru pre verejné obstarávanie</w:t>
      </w:r>
    </w:p>
    <w:p>
      <w:r>
        <w:t>dodanie. Uveďte správu a riadenie</w:t>
      </w:r>
    </w:p>
    <w:p>
      <w:r>
        <w:t>výmena.</w:t>
      </w:r>
    </w:p>
    <w:p>
      <w:r>
        <w:t>plánované opatrenia</w:t>
      </w:r>
    </w:p>
    <w:p>
      <w:r>
        <w:t>Veľké neštruktúrované súťažné podklady.</w:t>
      </w:r>
    </w:p>
    <w:p>
      <w:r>
        <w:t>Validačná služba sa použije na</w:t>
      </w:r>
    </w:p>
    <w:p>
      <w:r>
        <w:t>Rozdiely medzi jednotlivými štátmi.</w:t>
      </w:r>
    </w:p>
    <w:p>
      <w:r>
        <w:t>Opatrenia prijaté na zabezpečenie spoločného zberu údajov a ich uverejňovania</w:t>
      </w:r>
    </w:p>
    <w:p>
      <w:r>
        <w:t>pochopenie údajov. Uveďte zoznam informácií v dodatku k</w:t>
      </w:r>
    </w:p>
    <w:p>
      <w:r>
        <w:t>Neochota členských štátov zdieľať neverejné</w:t>
      </w:r>
    </w:p>
    <w:p>
      <w:r>
        <w:t>tieto opatrenia sú uverejnené v Úradnom vestníku Európskej únie a v</w:t>
      </w:r>
    </w:p>
    <w:p>
      <w:r>
        <w:t>údaje o verejnom obstarávaní.</w:t>
      </w:r>
    </w:p>
    <w:p>
      <w:r>
        <w:t>PPD.</w:t>
      </w:r>
    </w:p>
    <w:p>
      <w:r>
        <w:t>Nedostatky v kvalite údajov.</w:t>
      </w:r>
    </w:p>
    <w:p>
      <w:r>
        <w:t>Heterogénne vnútroštátne elektronické obstarávanie</w:t>
      </w:r>
    </w:p>
    <w:p>
      <w:r>
        <w:t>Normy pre platformy verejného obstarávania.</w:t>
      </w:r>
    </w:p>
    <w:p>
      <w:r>
        <w:t>Používanie spoločne dohodnutých otvorených technických</w:t>
      </w:r>
    </w:p>
    <w:p>
      <w:r>
        <w:t>postupy a verejné obstarávanie</w:t>
      </w:r>
    </w:p>
    <w:p>
      <w:r>
        <w:t>špecifikácie a normy. Uveďte Neistota týkajúca sa sieťovej technológie</w:t>
      </w:r>
    </w:p>
    <w:p>
      <w:r>
        <w:t>vypracujú sa podrobnosti a</w:t>
      </w:r>
    </w:p>
    <w:p>
      <w:r>
        <w:t>výber takýchto opatrení.</w:t>
      </w:r>
    </w:p>
    <w:p>
      <w:r>
        <w:t>vykonané.</w:t>
      </w:r>
    </w:p>
    <w:p>
      <w:r>
        <w:t>Nerovnomerná digitálna vyspelosť členských štátov.</w:t>
      </w:r>
    </w:p>
    <w:p>
      <w:r>
        <w:t>Digitálna verejná služba č. 2: Elektronická služba pre oprávnenosť</w:t>
      </w:r>
    </w:p>
    <w:p>
      <w:pPr>
        <w:pStyle w:val="Heading1"/>
      </w:pPr>
      <w:r>
        <w:t>SK SK SK</w:t>
      </w:r>
    </w:p>
    <w:p>
      <w:r>
        <w:t>192</w:t>
      </w:r>
    </w:p>
    <w:p>
      <w:r>
        <w:t>Potenciálne zostávajúce prekážky (ak</w:t>
      </w:r>
    </w:p>
    <w:p>
      <w:r>
        <w:t>Hodnotiace opatrenie(-a)</w:t>
      </w:r>
    </w:p>
    <w:p>
      <w:r>
        <w:t>sa uplatňuje)</w:t>
      </w:r>
    </w:p>
    <w:p>
      <w:r>
        <w:t>Zosúladenie s viacerými odvetvovými</w:t>
      </w:r>
    </w:p>
    <w:p>
      <w:r>
        <w:t>Zosúladenie s existujúcimi digitálnymi a</w:t>
      </w:r>
    </w:p>
    <w:p>
      <w:r>
        <w:t>Vykonávací akt poskytne podrobné politiky, ako je smernica (EÚ)</w:t>
      </w:r>
    </w:p>
    <w:p>
      <w:r>
        <w:t>sektorové politiky. Uveďte zoznam</w:t>
      </w:r>
    </w:p>
    <w:p>
      <w:r>
        <w:t>ďalšie informácie a bude sa zaoberať 2023/1791, nariadením (EÚ) 2019/1242,</w:t>
      </w:r>
    </w:p>
    <w:p>
      <w:r>
        <w:t>uplatniteľné digitálne a odvetvové politiky</w:t>
      </w:r>
    </w:p>
    <w:p>
      <w:r>
        <w:t>sektorové spisy. Nariadenie (EÚ) 2023/1542, nariadenie</w:t>
      </w:r>
    </w:p>
    <w:p>
      <w:r>
        <w:t>identifikované</w:t>
      </w:r>
    </w:p>
    <w:p>
      <w:r>
        <w:t>(EÚ) 2024/1781, smernica 2009/33/ES</w:t>
      </w:r>
    </w:p>
    <w:p>
      <w:r>
        <w:t>Organizačné opatrenia na zabezpečenie hladkého priebehu</w:t>
      </w:r>
    </w:p>
    <w:p>
      <w:r>
        <w:t>V hlavnom právnom akte sa predpokladá riadenie</w:t>
      </w:r>
    </w:p>
    <w:p>
      <w:r>
        <w:t>cezhraničné digitálne verejné služby</w:t>
      </w:r>
    </w:p>
    <w:p>
      <w:r>
        <w:t>sieť interoperability a údaje dátového priestoru pre verejné obstarávanie</w:t>
      </w:r>
    </w:p>
    <w:p>
      <w:r>
        <w:t>dodanie. Uveďte správu a riadenie</w:t>
      </w:r>
    </w:p>
    <w:p>
      <w:r>
        <w:t>výmena.</w:t>
      </w:r>
    </w:p>
    <w:p>
      <w:r>
        <w:t>plánované opatrenia</w:t>
      </w:r>
    </w:p>
    <w:p>
      <w:r>
        <w:t>Veľké neštruktúrované súťažné podklady.</w:t>
      </w:r>
    </w:p>
    <w:p>
      <w:r>
        <w:t>Rozdiely medzi jednotlivými štátmi.</w:t>
      </w:r>
    </w:p>
    <w:p>
      <w:r>
        <w:t>Opatrenia prijaté na zabezpečenie používania spoločného nástroja digitálnych certifikátov a</w:t>
      </w:r>
    </w:p>
    <w:p>
      <w:r>
        <w:t>pochopenie údajov. Uveďte, prosím, odkaz na službu oprávnenosti na</w:t>
      </w:r>
    </w:p>
    <w:p>
      <w:r>
        <w:t>Neochota členských štátov zdieľať neverejné</w:t>
      </w:r>
    </w:p>
    <w:p>
      <w:r>
        <w:t>takýmito opatreniami sa zabezpečuje správne zdieľanie údajov.</w:t>
      </w:r>
    </w:p>
    <w:p>
      <w:r>
        <w:t>údaje o verejnom obstarávaní.</w:t>
      </w:r>
    </w:p>
    <w:p>
      <w:r>
        <w:t>Nedostatky v kvalite údajov.</w:t>
      </w:r>
    </w:p>
    <w:p>
      <w:r>
        <w:t>Heterogénne vnútroštátne elektronické obstarávanie</w:t>
      </w:r>
    </w:p>
    <w:p>
      <w:r>
        <w:t>nástupištia.</w:t>
      </w:r>
    </w:p>
    <w:p>
      <w:r>
        <w:t>Používanie spoločne dohodnutých otvorených technických noriem pre postupy verejného obstarávania</w:t>
      </w:r>
    </w:p>
    <w:p>
      <w:r>
        <w:t>špecifikácie a normy. Uveďte zoznam a podrobnosti o verejnom obstarávaní budú Neistota týkajúca sa sieťovej technológie</w:t>
      </w:r>
    </w:p>
    <w:p>
      <w:r>
        <w:t>takéto opatrenia boli vypracované a vykonané.</w:t>
      </w:r>
    </w:p>
    <w:p>
      <w:r>
        <w:t>Nerovnomerná digitálna vyspelosť členských štátov.</w:t>
      </w:r>
    </w:p>
    <w:p>
      <w:r>
        <w:t>Digitálna verejná služba č. 3: platformy elektronického obstarávania</w:t>
      </w:r>
    </w:p>
    <w:p>
      <w:pPr>
        <w:pStyle w:val="Heading1"/>
      </w:pPr>
      <w:r>
        <w:t>SK SK SK</w:t>
      </w:r>
    </w:p>
    <w:p>
      <w:r>
        <w:t>193</w:t>
      </w:r>
    </w:p>
    <w:p>
      <w:r>
        <w:t>Potenciálne zostávajúce prekážky (ak</w:t>
      </w:r>
    </w:p>
    <w:p>
      <w:r>
        <w:t>Hodnotiace opatrenie(-a)</w:t>
      </w:r>
    </w:p>
    <w:p>
      <w:r>
        <w:t>sa uplatňuje)</w:t>
      </w:r>
    </w:p>
    <w:p>
      <w:r>
        <w:t>Zosúladenie s viacerými odvetvovými</w:t>
      </w:r>
    </w:p>
    <w:p>
      <w:r>
        <w:t>Zosúladenie s existujúcimi digitálnymi a</w:t>
      </w:r>
    </w:p>
    <w:p>
      <w:r>
        <w:t>Vykonávací akt poskytne podrobné politiky, ako je smernica (EÚ)</w:t>
      </w:r>
    </w:p>
    <w:p>
      <w:r>
        <w:t>sektorové politiky. Uveďte zoznam</w:t>
      </w:r>
    </w:p>
    <w:p>
      <w:r>
        <w:t>ďalšie informácie a bude sa zaoberať 2023/1791, nariadením (EÚ) 2019/1242,</w:t>
      </w:r>
    </w:p>
    <w:p>
      <w:r>
        <w:t>uplatniteľné digitálne a odvetvové politiky</w:t>
      </w:r>
    </w:p>
    <w:p>
      <w:r>
        <w:t>sektorové spisy. Nariadenie (EÚ) 2023/1542, nariadenie</w:t>
      </w:r>
    </w:p>
    <w:p>
      <w:r>
        <w:t>identifikované</w:t>
      </w:r>
    </w:p>
    <w:p>
      <w:r>
        <w:t>(EÚ) 2024/1781, smernica 2009/33/ES</w:t>
      </w:r>
    </w:p>
    <w:p>
      <w:r>
        <w:t>Organizačné opatrenia na zabezpečenie hladkého priebehu</w:t>
      </w:r>
    </w:p>
    <w:p>
      <w:r>
        <w:t>V hlavnom právnom akte sa predpokladá riadenie</w:t>
      </w:r>
    </w:p>
    <w:p>
      <w:r>
        <w:t>cezhraničné digitálne verejné služby</w:t>
      </w:r>
    </w:p>
    <w:p>
      <w:r>
        <w:t>sieť interoperability a údaje dátového priestoru pre verejné obstarávanie</w:t>
      </w:r>
    </w:p>
    <w:p>
      <w:r>
        <w:t>dodanie. Uveďte správu a riadenie</w:t>
      </w:r>
    </w:p>
    <w:p>
      <w:r>
        <w:t>výmena.</w:t>
      </w:r>
    </w:p>
    <w:p>
      <w:r>
        <w:t>plánované opatrenia</w:t>
      </w:r>
    </w:p>
    <w:p>
      <w:r>
        <w:t>Veľké neštruktúrované súťažné podklady.</w:t>
      </w:r>
    </w:p>
    <w:p>
      <w:r>
        <w:t>Rozdiely medzi jednotlivými štátmi.</w:t>
      </w:r>
    </w:p>
    <w:p>
      <w:r>
        <w:t>Opatrenia prijaté na zabezpečenie spoločných noriem pre postupy verejného obstarávania</w:t>
      </w:r>
    </w:p>
    <w:p>
      <w:r>
        <w:t>pochopenie údajov. Uveďte zoznam a podrobnosti o verejnom obstarávaní budú</w:t>
      </w:r>
    </w:p>
    <w:p>
      <w:r>
        <w:t>Neochota členských štátov zdieľať neverejné</w:t>
      </w:r>
    </w:p>
    <w:p>
      <w:r>
        <w:t>takéto opatrenia boli vypracované a vykonané.</w:t>
      </w:r>
    </w:p>
    <w:p>
      <w:r>
        <w:t>údaje o verejnom obstarávaní.</w:t>
      </w:r>
    </w:p>
    <w:p>
      <w:r>
        <w:t>Nedostatky v kvalite údajov.</w:t>
      </w:r>
    </w:p>
    <w:p>
      <w:r>
        <w:t>Heterogénne vnútroštátne elektronické obstarávanie</w:t>
      </w:r>
    </w:p>
    <w:p>
      <w:r>
        <w:t>nástupištia.</w:t>
      </w:r>
    </w:p>
    <w:p>
      <w:r>
        <w:t>Používanie spoločne dohodnutých otvorených technických noriem pre postupy verejného obstarávania</w:t>
      </w:r>
    </w:p>
    <w:p>
      <w:r>
        <w:t>špecifikácie a normy. Uveďte zoznam a podrobnosti o verejnom obstarávaní budú Neistota týkajúca sa sieťovej technológie</w:t>
      </w:r>
    </w:p>
    <w:p>
      <w:r>
        <w:t>takéto opatrenia boli vypracované a vykonané.</w:t>
      </w:r>
    </w:p>
    <w:p>
      <w:r>
        <w:t>Nerovnomerná digitálna vyspelosť členských štátov.</w:t>
      </w:r>
    </w:p>
    <w:p>
      <w:r>
        <w:t>Digitálna verejná služba č. 4: Dátový priestor pre verejné obstarávanie</w:t>
      </w:r>
    </w:p>
    <w:p>
      <w:pPr>
        <w:pStyle w:val="Heading1"/>
      </w:pPr>
      <w:r>
        <w:t>SK SK SK</w:t>
      </w:r>
    </w:p>
    <w:p>
      <w:r>
        <w:t>194</w:t>
      </w:r>
    </w:p>
    <w:p>
      <w:r>
        <w:t>Potenciálne zostávajúce prekážky (ak</w:t>
      </w:r>
    </w:p>
    <w:p>
      <w:r>
        <w:t>Hodnotiace opatrenie(-a)</w:t>
      </w:r>
    </w:p>
    <w:p>
      <w:r>
        <w:t>sa uplatňuje)</w:t>
      </w:r>
    </w:p>
    <w:p>
      <w:r>
        <w:t>Zosúladenie s viacerými odvetvovými</w:t>
      </w:r>
    </w:p>
    <w:p>
      <w:r>
        <w:t>Zosúladenie s existujúcimi digitálnymi a</w:t>
      </w:r>
    </w:p>
    <w:p>
      <w:r>
        <w:t>Vykonávací akt poskytne podrobné politiky, ako je smernica (EÚ)</w:t>
      </w:r>
    </w:p>
    <w:p>
      <w:r>
        <w:t>sektorové politiky. Uveďte zoznam</w:t>
      </w:r>
    </w:p>
    <w:p>
      <w:r>
        <w:t>ďalšie informácie a bude sa zaoberať 2023/1791,nariadením (EÚ) 2019/1242,</w:t>
      </w:r>
    </w:p>
    <w:p>
      <w:r>
        <w:t>uplatniteľné digitálne a odvetvové politiky</w:t>
      </w:r>
    </w:p>
    <w:p>
      <w:r>
        <w:t>sektorové spisy. Nariadenie (EÚ) 2023/1542, nariadenie</w:t>
      </w:r>
    </w:p>
    <w:p>
      <w:r>
        <w:t>identifikované</w:t>
      </w:r>
    </w:p>
    <w:p>
      <w:r>
        <w:t>(EÚ) 2024/1781, smernica 2009/33/ES</w:t>
      </w:r>
    </w:p>
    <w:p>
      <w:r>
        <w:t>Organizačné opatrenia na zabezpečenie hladkého priebehu</w:t>
      </w:r>
    </w:p>
    <w:p>
      <w:r>
        <w:t>V hlavnom právnom akte sa predpokladá riadenie</w:t>
      </w:r>
    </w:p>
    <w:p>
      <w:r>
        <w:t>cezhraničné digitálne verejné služby</w:t>
      </w:r>
    </w:p>
    <w:p>
      <w:r>
        <w:t>sieť interoperability a údaje dátového priestoru pre verejné obstarávanie</w:t>
      </w:r>
    </w:p>
    <w:p>
      <w:r>
        <w:t>dodanie. Uveďte správu a riadenie</w:t>
      </w:r>
    </w:p>
    <w:p>
      <w:r>
        <w:t>výmena.</w:t>
      </w:r>
    </w:p>
    <w:p>
      <w:r>
        <w:t>plánované opatrenia</w:t>
      </w:r>
    </w:p>
    <w:p>
      <w:r>
        <w:t>Veľké neštruktúrované súťažné podklady.</w:t>
      </w:r>
    </w:p>
    <w:p>
      <w:r>
        <w:t>Validačná služba sa použije na</w:t>
      </w:r>
    </w:p>
    <w:p>
      <w:r>
        <w:t>Rozdiely medzi jednotlivými štátmi.</w:t>
      </w:r>
    </w:p>
    <w:p>
      <w:r>
        <w:t>Opatrenia prijaté na zabezpečenie spoločného zberu údajov a ich uverejňovania</w:t>
      </w:r>
    </w:p>
    <w:p>
      <w:r>
        <w:t>pochopenie údajov. Uveďte zoznam informácií v dodatku k</w:t>
      </w:r>
    </w:p>
    <w:p>
      <w:r>
        <w:t>Neochota členských štátov zdieľať neverejné</w:t>
      </w:r>
    </w:p>
    <w:p>
      <w:r>
        <w:t>tieto opatrenia sú uverejnené v Úradnom vestníku Európskej únie a v</w:t>
      </w:r>
    </w:p>
    <w:p>
      <w:r>
        <w:t>údaje o verejnom obstarávaní.</w:t>
      </w:r>
    </w:p>
    <w:p>
      <w:r>
        <w:t>PPD.</w:t>
      </w:r>
    </w:p>
    <w:p>
      <w:r>
        <w:t>Nedostatky v kvalite údajov.</w:t>
      </w:r>
    </w:p>
    <w:p>
      <w:r>
        <w:t>Heterogénne vnútroštátne elektronické obstarávanie</w:t>
      </w:r>
    </w:p>
    <w:p>
      <w:r>
        <w:t>nástupištia.</w:t>
      </w:r>
    </w:p>
    <w:p>
      <w:r>
        <w:t>Používanie spoločne dohodnutých otvorených technických noriem pre postupy verejného obstarávania</w:t>
      </w:r>
    </w:p>
    <w:p>
      <w:r>
        <w:t>špecifikácie a normy. Uveďte zoznam a podrobnosti o verejnom obstarávaní budú Neistota týkajúca sa sieťovej technológie</w:t>
      </w:r>
    </w:p>
    <w:p>
      <w:r>
        <w:t>takéto opatrenia boli vypracované a vykonané.</w:t>
      </w:r>
    </w:p>
    <w:p>
      <w:r>
        <w:t>Nerovnomerná digitálna vyspelosť členských štátov.</w:t>
      </w:r>
    </w:p>
    <w:p>
      <w:pPr>
        <w:pStyle w:val="Heading1"/>
      </w:pPr>
      <w:r>
        <w:t>SK SK SK</w:t>
      </w:r>
    </w:p>
    <w:p>
      <w:r>
        <w:t>195</w:t>
      </w:r>
    </w:p>
    <w:p>
      <w:r>
        <w:t>4.5. Opatrenia na podporu digitálneho vykonávania</w:t>
      </w:r>
    </w:p>
    <w:p>
      <w:r>
        <w:t>Za každé opatrenie na podporu digitálnej implementácie vyplňte nasledujúcu tabuľku.</w:t>
      </w:r>
    </w:p>
    <w:p>
      <w:r>
        <w:t>E x e c t e d</w:t>
      </w:r>
    </w:p>
    <w:p>
      <w:r>
        <w:t>T i</w:t>
      </w:r>
    </w:p>
    <w:p>
      <w:r>
        <w:t>Aktéri, ktorí majú byť</w:t>
      </w:r>
    </w:p>
    <w:p>
      <w:r>
        <w:t>m</w:t>
      </w:r>
    </w:p>
    <w:p>
      <w:r>
        <w:t>Odkaz(-y) na</w:t>
      </w:r>
    </w:p>
    <w:p>
      <w:r>
        <w:t>Opis príslušného opatrenia Úloha Komisie (v relevantných prípadoch) (ak</w:t>
      </w:r>
    </w:p>
    <w:p>
      <w:r>
        <w:t>e</w:t>
      </w:r>
    </w:p>
    <w:p>
      <w:r>
        <w:t>požiadavky</w:t>
      </w:r>
    </w:p>
    <w:p>
      <w:r>
        <w:t>sa uplatňuje)</w:t>
      </w:r>
    </w:p>
    <w:p>
      <w:r>
        <w:t>L i n e</w:t>
      </w:r>
    </w:p>
    <w:p>
      <w:r>
        <w:t>(súčasne s l)</w:t>
      </w:r>
    </w:p>
    <w:p>
      <w:pPr>
        <w:pStyle w:val="Heading1"/>
      </w:pPr>
      <w:r>
        <w:t>SK SK SK</w:t>
      </w:r>
    </w:p>
    <w:p>
      <w:r>
        <w:t>196</w:t>
      </w:r>
    </w:p>
    <w:p>
      <w:r>
        <w:t>I c a b l e)</w:t>
      </w:r>
    </w:p>
    <w:p>
      <w:r>
        <w:t>Komisia prijme delegované akty, aby Komisia prijala/</w:t>
      </w:r>
    </w:p>
    <w:p>
      <w:r>
        <w:t>Článok 128 ods. 2 Komisia</w:t>
      </w:r>
    </w:p>
    <w:p>
      <w:r>
        <w:t>ustanoviť alebo určiť takéto akty/</w:t>
      </w:r>
    </w:p>
    <w:p>
      <w:r>
        <w:t>sieť interoperability.</w:t>
      </w:r>
    </w:p>
    <w:p>
      <w:r>
        <w:t>Komisia je splnomocnená prijímať vykonávacie akty, ktorými sa stanovujú podrobné pravidlá.</w:t>
      </w:r>
    </w:p>
    <w:p>
      <w:r>
        <w:t>Článok 128 ods. 3 Komisia</w:t>
      </w:r>
    </w:p>
    <w:p>
      <w:r>
        <w:t>opatrenia na prijímanie takýchto aktov/</w:t>
      </w:r>
    </w:p>
    <w:p>
      <w:r>
        <w:t>zavedenie a prevádzka siete interoperability.</w:t>
      </w:r>
    </w:p>
    <w:p>
      <w:r>
        <w:t>Komisia môže prijať vykonávacie akty, ktorými sa stanovia spoločné špecifikácie týkajúce sa:</w:t>
      </w:r>
    </w:p>
    <w:p>
      <w:r>
        <w:t>Komisia môže prijať takéto/</w:t>
      </w:r>
    </w:p>
    <w:p>
      <w:r>
        <w:t>základné požiadavky článku 130 ods. 2 Komisia</w:t>
      </w:r>
    </w:p>
    <w:p>
      <w:r>
        <w:t>akty/</w:t>
      </w:r>
    </w:p>
    <w:p>
      <w:r>
        <w:t>sémantický dátový model základných prvkov postupov verejného obstarávania.</w:t>
      </w:r>
    </w:p>
    <w:p>
      <w:r>
        <w:t>Komisia je splnomocnená podľa článku 133 ods. 3</w:t>
      </w:r>
    </w:p>
    <w:p>
      <w:r>
        <w:t>/</w:t>
      </w:r>
    </w:p>
    <w:p>
      <w:pPr>
        <w:pStyle w:val="Heading1"/>
      </w:pPr>
      <w:r>
        <w:t>SK SK SK</w:t>
      </w:r>
    </w:p>
    <w:p>
      <w:r>
        <w:t>197</w:t>
      </w:r>
    </w:p>
    <w:p>
      <w:r>
        <w:t>prijímať delegované akty stanovujúce prijatie takýchto aktov/</w:t>
      </w:r>
    </w:p>
    <w:p>
      <w:r>
        <w:t>stanovia podrobné pravidlá riadenia elektronickej služby oprávnenosti a určia nástroj digitálneho podnikového dokladu a súvisiacu sieť, ktoré majú hospodárske subjekty používať na účely určenia oprávnenosti.</w:t>
      </w:r>
    </w:p>
    <w:p>
      <w:r>
        <w:t>Komisia je splnomocnená prijímať vykonávacie akty.</w:t>
      </w:r>
    </w:p>
    <w:p>
      <w:r>
        <w:t>Komisia je splnomocnená/</w:t>
      </w:r>
    </w:p>
    <w:p>
      <w:r>
        <w:t>ktorým sa spresňuje technický článok 133 ods. 6 Komisia</w:t>
      </w:r>
    </w:p>
    <w:p>
      <w:r>
        <w:t>prijímať takéto akty/</w:t>
      </w:r>
    </w:p>
    <w:p>
      <w:r>
        <w:t>opatrenia týkajúce sa elektronickej služby oprávnenosti.</w:t>
      </w:r>
    </w:p>
    <w:p>
      <w:r>
        <w:t>Komisia je splnomocnená prijímať delegované</w:t>
      </w:r>
    </w:p>
    <w:p>
      <w:r>
        <w:t>Komisia je splnomocnená/</w:t>
      </w:r>
    </w:p>
    <w:p>
      <w:r>
        <w:t>akty, ktorými sa bližšie určujú kategórie Článok 134 ods. 7 Komisia</w:t>
      </w:r>
    </w:p>
    <w:p>
      <w:r>
        <w:t>prijímať takéto akty/</w:t>
      </w:r>
    </w:p>
    <w:p>
      <w:r>
        <w:t>informácií o obstarávaní, ktoré sa majú sprístupniť NPPDS.</w:t>
      </w:r>
    </w:p>
    <w:p>
      <w:r>
        <w:t>Komisia je splnomocnená prijímať vykonávacie akty, ktorými sa spresní obstarávanie</w:t>
      </w:r>
    </w:p>
    <w:p>
      <w:r>
        <w:t>Komisia je splnomocnená/</w:t>
      </w:r>
    </w:p>
    <w:p>
      <w:r>
        <w:t>Článok 134 ods. 8 Komisia</w:t>
      </w:r>
    </w:p>
    <w:p>
      <w:r>
        <w:t>informácie, ktoré sa majú poskytnúť</w:t>
      </w:r>
    </w:p>
    <w:p>
      <w:r>
        <w:t>prijímať takéto akty/</w:t>
      </w:r>
    </w:p>
    <w:p>
      <w:r>
        <w:t>dostupné prostredníctvom NPPDS, ako aj jeho technického formátu, určenia a spôsobov</w:t>
      </w:r>
    </w:p>
    <w:p>
      <w:pPr>
        <w:pStyle w:val="Heading1"/>
      </w:pPr>
      <w:r>
        <w:t>SK SK SK</w:t>
      </w:r>
    </w:p>
    <w:p>
      <w:r>
        <w:t>198</w:t>
      </w:r>
    </w:p>
    <w:p>
      <w:r>
        <w:t>takéto určenie konkrétnych informácií o obstarávaní ako verejne alebo neverejne dostupných informácií o obstarávaní a zdroj požiadaviek na technickú validáciu.</w:t>
      </w:r>
    </w:p>
    <w:p>
      <w:r>
        <w:t>Komisia je splnomocnená prijímať vykonávacie akty, v ktorých stanoví informácie o obstarávaní, ktoré majú poskytovať členské štáty prostredníctvom dátového priestoru pre verejné obstarávanie vrátane svojej právomoci.</w:t>
      </w:r>
    </w:p>
    <w:p>
      <w:r>
        <w:t>Článok 135 ods. 3 Komisia</w:t>
      </w:r>
    </w:p>
    <w:p>
      <w:r>
        <w:t>technický formát, minimum na prijatie takýchto aktov/</w:t>
      </w:r>
    </w:p>
    <w:p>
      <w:r>
        <w:t>podmienky uverejňovania pre</w:t>
      </w:r>
    </w:p>
    <w:p>
      <w:r>
        <w:t>informácie o verejnom obstarávaní</w:t>
      </w:r>
    </w:p>
    <w:p>
      <w:r>
        <w:t>označené ako verejne dostupné a zdroj požiadaviek na technickú validáciu.</w:t>
      </w:r>
    </w:p>
    <w:p>
      <w:r>
        <w:t>Komisia môže prijať vykonávacie akty, v ktorých stanoví:</w:t>
      </w:r>
    </w:p>
    <w:p>
      <w:r>
        <w:t>Komisia môže prijať takéto/</w:t>
      </w:r>
    </w:p>
    <w:p>
      <w:r>
        <w:t>v nadväznosti na vykonávanie článku 136 ods. 2 Komisia</w:t>
      </w:r>
    </w:p>
    <w:p>
      <w:r>
        <w:t>akty/</w:t>
      </w:r>
    </w:p>
    <w:p>
      <w:r>
        <w:t>usporiadanie údajov</w:t>
      </w:r>
    </w:p>
    <w:p>
      <w:r>
        <w:t>výmena podľa práva Únie.</w:t>
      </w:r>
    </w:p>
    <w:p>
      <w:pPr>
        <w:pStyle w:val="Heading1"/>
      </w:pPr>
      <w:r>
        <w:t>SK SK SK</w:t>
      </w:r>
    </w:p>
    <w:p>
      <w:r>
        <w:t>199</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Osobitná správa o verejnom obstarávaní v EÚ za rok 2023, https://www.eca.europa.eu/en/publications?ref=SR-2023-28.</w:t>
      </w:r>
    </w:p>
    <w:p>
      <w:r>
        <w:rPr>
          <w:sz w:val="16"/>
        </w:rPr>
        <w:t>6 consilium.europa.eu/en/press/press-releases/2024/05/24/council-adopts-conclusions-on-the-court-of- Auditers-report-on-public-procurement/pdf/.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 verejné obstarávanie – právny rámec.</w:t>
      </w:r>
    </w:p>
    <w:p>
      <w:r>
        <w:rPr>
          <w:sz w:val="16"/>
        </w:rPr>
        <w:t>10 https://commission.europa.eu/publications/simpler-clearer-and-better-enforced-eu-rulebook_en.</w:t>
      </w:r>
    </w:p>
    <w:p>
      <w:r>
        <w:rPr>
          <w:sz w:val="16"/>
        </w:rPr>
        <w:t>11 Vec C-652/22, Kolin İnĚaat Turizm Sanayi ve Ticaret Aâ/Štátna komisia pre dohľad nad postupmi verejného obstarávania; Vec C-266/22, CRRC Qingdao Sifang Co. Ltd a Astra Vagoane Călători SA/Autoritata pentru Reformă Feroviară a Alstom Ferroviaria SpA.</w:t>
      </w:r>
    </w:p>
    <w:p>
      <w:r>
        <w:rPr>
          <w:sz w:val="16"/>
        </w:rPr>
        <w:t>12 Rozdiel v nákladoch uvedených v legislatívnom finančnom výkaze a v posúdení vplyvu vyplýva z toho, že legislatívny finančný výkaz zahŕňa všetky náklady, zatiaľ čo v posúdení vplyvu sa zohľadňujú len dodatočné náklady zavedené politickými opatreniami nad rámec tzv. bežných nákladov. Existujú aj malé rozdiely v klasifikácii a prezentácii nákladov vyplývajúce z požiadaviek nariadenia o rozpočtových pravidlách.</w:t>
      </w:r>
    </w:p>
    <w:p>
      <w:r>
        <w:rPr>
          <w:sz w:val="16"/>
        </w:rPr>
        <w:t>13 Nariadenie Európskeho parlamentu a Rady (EÚ) 2024/1252 z 11. apríla 2024, ktorým sa stanovuje rámec na zaistenie bezpečných a udržateľných dodávok kritických surovín a ktorým sa menia nariadenia (EÚ) č. 168/2013, (EÚ) 2018/858, (EÚ) 2018/1724 a (EÚ) 2019/1020 (Ú. v. EÚ L, 2024/1252, 3.5.2024, ELI: http://data.europa.eu/eli/reg/2024/1252/oj).</w:t>
      </w:r>
    </w:p>
    <w:p>
      <w:r>
        <w:rPr>
          <w:sz w:val="16"/>
        </w:rPr>
        <w:t>14 Nariadenie Európskeho parlamentu a Rady (EÚ) 2024/1735 z 13. júna 2024 o zriadení rámca opatrení na posilnenie európskeho ekosystému výroby emisne neutrálnych technológií a o zmene nariadenia (Ú. v. EÚ L, 2024/1735, 28.6.2024, ELI: http://data.europa.eu/eli/reg/2024/1735/oj).</w:t>
      </w:r>
    </w:p>
    <w:p>
      <w:r>
        <w:rPr>
          <w:sz w:val="16"/>
        </w:rPr>
        <w:t>15 Nariadenie Európskeho parlamentu a Rady (EÚ) 2024/1781 z 13. júna 2024, ktorým sa zriaďuje rámec na stanovenie požiadaviek na ekodizajn udržateľných výrobkov, mení smernica (EÚ) 2020/1828 a nariadenie (EÚ) 2023/1542 a zrušuje smernica 2009/125/ES (Ú. v. EÚ L, 2024/1781, 28.6.2024, ELI: http://data.europa.eu/eli/reg/2024/1781/oj).</w:t>
      </w:r>
    </w:p>
    <w:p>
      <w:pPr>
        <w:pStyle w:val="Heading1"/>
      </w:pPr>
      <w:r>
        <w:t>PRÍLOHA I</w:t>
      </w:r>
    </w:p>
    <w:p>
      <w:pPr>
        <w:pStyle w:val="Heading3"/>
        <w:jc w:val="center"/>
      </w:pPr>
      <w:r>
        <w:t>Ústredné orgány štátnej správy</w:t>
      </w:r>
    </w:p>
    <w:p>
      <w:r>
        <w:t>(1) BELGIUM</w:t>
      </w:r>
    </w:p>
    <w:p>
      <w:r>
        <w:t>a) Services publics fédéraux (Ministries) – Federale Overheidsdiensten (Ministries):</w:t>
      </w:r>
    </w:p>
    <w:p>
      <w:r>
        <w:t>a) SPF Chancellerie du Premier Ministre – FOD Kanselarij van de Eerste Minister;</w:t>
      </w:r>
    </w:p>
    <w:p>
      <w:r>
        <w:t>b) SPF Personnel et Organisation – FOD Kanselarij Personeel en Organisatie;</w:t>
      </w:r>
    </w:p>
    <w:p>
      <w:r>
        <w:t>c) SPF Budget et Contrôle de la Gestion – FOD Budget en Beheerscontrole;</w:t>
      </w:r>
    </w:p>
    <w:p>
      <w:r>
        <w:t>d) SPF Technologie de l’Information et de la Communication (Fedict) – FOD Informatie- en Communicatietechnologie (Fedict);</w:t>
      </w:r>
    </w:p>
    <w:p>
      <w:r>
        <w:t>e) SPF Affaires étrangères, Commerce extérieur et Coopération au Développement – FOD Buitenlandse Zaken, Buitenlandse Handel en Ontwikkelingssamenwerking;</w:t>
      </w:r>
    </w:p>
    <w:p>
      <w:r>
        <w:t>f) SPF Intérieur – FOD Binnenlandse Zaken;</w:t>
      </w:r>
    </w:p>
    <w:p>
      <w:r>
        <w:t>g) SPF Finances – FOD Financiën;</w:t>
      </w:r>
    </w:p>
    <w:p>
      <w:r>
        <w:t>h) SPF Mobilité et Transports – FOD Mobiliteit en Vervoer;</w:t>
      </w:r>
    </w:p>
    <w:p>
      <w:r>
        <w:t>i) SPF Emploi, Travail et Concertation sociale – FOD Werkgelegenheid, Arbeid en sociaal overleg;</w:t>
      </w:r>
    </w:p>
    <w:p>
      <w:r>
        <w:t>j) SPF Sécurité Sociale et Institutions publiques de Sécurité Sociale – FOD Sociale Zekerheid en Openbare Instellingen van sociale Zekerheid;</w:t>
      </w:r>
    </w:p>
    <w:p>
      <w:r>
        <w:t>k) SPF Santé publique, Sécurité de la Chaîne alimentaire et Environnement</w:t>
      </w:r>
    </w:p>
    <w:p>
      <w:r>
        <w:t>– FOD Volksgezondheid, Veiligheid van de Voedselketen en Leefmilieu;</w:t>
      </w:r>
    </w:p>
    <w:p>
      <w:r>
        <w:t>l) SPF Justice – FOD Justitie;</w:t>
      </w:r>
    </w:p>
    <w:p>
      <w:r>
        <w:t>(m)SPF Economie, PME, Classes moyennes et Energie – FOD Economie,</w:t>
      </w:r>
    </w:p>
    <w:p>
      <w:r>
        <w:t>KMO, Middenstand en Energie;</w:t>
      </w:r>
    </w:p>
    <w:p>
      <w:r>
        <w:t>n) Ministère de la Défense – Ministerie van Landsverdediging;</w:t>
      </w:r>
    </w:p>
    <w:p>
      <w:r>
        <w:t>o) Service public de programmation Intégration sociale, Lutte contre la pauvreté et Economie sociale – Programmatorische Overheidsdienst Maatschappelijke Integratie, Armoedsbestrijding en sociale Economie;</w:t>
      </w:r>
    </w:p>
    <w:p>
      <w:r>
        <w:t>p) Service public fédéral de Programmation Développement durable – Programmatorische federale Overheidsdienst Duurzame Ontwikkeling;</w:t>
      </w:r>
    </w:p>
    <w:p>
      <w:r>
        <w:t>q) Service public fédéral de Programmation Politique scientifique – Programmatorische federale Overheidsdienst Wetenschapsbeleid;</w:t>
      </w:r>
    </w:p>
    <w:p>
      <w:r>
        <w:t>b) Régie des Bâtiments – Regie der Gebouwen:</w:t>
      </w:r>
    </w:p>
    <w:p>
      <w:r>
        <w:t>a) Office national de Sécurité sociale – Rijksdienst voor sociale Zekerheid;</w:t>
      </w:r>
    </w:p>
    <w:p>
      <w:r>
        <w:t>b) Institut national d’Assurance sociales pour travailleurs – Rijksinstituut voor de sociale Verzekeringen der Zelfindépendants standigen;</w:t>
      </w:r>
    </w:p>
    <w:p>
      <w:r>
        <w:t>c) Institut national d’Assurance Maladie-Invalidité – Rijksinstituut voor Ziekte- en Invaliditeitsverzekering;</w:t>
      </w:r>
    </w:p>
    <w:p>
      <w:r>
        <w:t>d) Office national des Pensions – Rijksdienst voor Pensioenen;</w:t>
      </w:r>
    </w:p>
    <w:p>
      <w:r>
        <w:t>e) Caisse auxiliaire d’Assurance Maladie-Invalidité – Hulpkas voor Ziekte-en Invaliditeitsverzekering;</w:t>
      </w:r>
    </w:p>
    <w:p>
      <w:r>
        <w:t>f) Fond des Maladies professionnelles – Fonds voor Beroepsziekten;</w:t>
      </w:r>
    </w:p>
    <w:p>
      <w:r>
        <w:t>g) Office national de l’Emploi – Rijksdienst voor Arbeidsvoorzienin.</w:t>
      </w:r>
    </w:p>
    <w:p>
      <w:r>
        <w:t>(2) BULGARIA</w:t>
      </w:r>
    </w:p>
    <w:p>
      <w:r>
        <w:t>a) Администрация на Народното събрание;</w:t>
      </w:r>
    </w:p>
    <w:p>
      <w:r>
        <w:t>b) Aдминистрация на Президента Администрация на;</w:t>
      </w:r>
    </w:p>
    <w:p>
      <w:r>
        <w:t>c) Министерския съвет;</w:t>
      </w:r>
    </w:p>
    <w:p>
      <w:r>
        <w:t>d) Конституционен съд;</w:t>
      </w:r>
    </w:p>
    <w:p>
      <w:r>
        <w:t>e) Българска народна банка;</w:t>
      </w:r>
    </w:p>
    <w:p>
      <w:r>
        <w:t>f) Министерство на външните работи;</w:t>
      </w:r>
    </w:p>
    <w:p>
      <w:r>
        <w:t>g) Министерство на вътрешните работи;</w:t>
      </w:r>
    </w:p>
    <w:p>
      <w:r>
        <w:t>h) Министерство на държавната администрация и административната реформа;</w:t>
      </w:r>
    </w:p>
    <w:p>
      <w:r>
        <w:t>i) Министерство на извънредните ситуации;</w:t>
      </w:r>
    </w:p>
    <w:p>
      <w:r>
        <w:t>j) Министерство на земеделието и храните;</w:t>
      </w:r>
    </w:p>
    <w:p>
      <w:r>
        <w:t>k) Министерство на здравеопазването;</w:t>
      </w:r>
    </w:p>
    <w:p>
      <w:r>
        <w:t>l) Министерство на икономиката и енергетиката;</w:t>
      </w:r>
    </w:p>
    <w:p>
      <w:r>
        <w:t>(m)Министерство на културата;</w:t>
      </w:r>
    </w:p>
    <w:p>
      <w:r>
        <w:t>n) Министерство на образованието и науката;</w:t>
      </w:r>
    </w:p>
    <w:p>
      <w:r>
        <w:t>o) Министерство на околната среда и водите;</w:t>
      </w:r>
    </w:p>
    <w:p>
      <w:r>
        <w:t>p) Министерство на отбраната;</w:t>
      </w:r>
    </w:p>
    <w:p>
      <w:r>
        <w:t>q) Министерство на правосъдието;</w:t>
      </w:r>
    </w:p>
    <w:p>
      <w:r>
        <w:t>r) Министерство на регионалното развитие и благоустройството;</w:t>
      </w:r>
    </w:p>
    <w:p>
      <w:r>
        <w:t>s) Министерство на транспорта;</w:t>
      </w:r>
    </w:p>
    <w:p>
      <w:r>
        <w:t>t) Министерство на труда и социалната политика;</w:t>
      </w:r>
    </w:p>
    <w:p>
      <w:r>
        <w:t>u) Министерство на финансите;</w:t>
      </w:r>
    </w:p>
    <w:p>
      <w:r>
        <w:t>v) State agencies, state commissions, executive agencies and other state authorities established by law or by Council of Ministers’ decree having a function relating to the exercise of executive power:</w:t>
      </w:r>
    </w:p>
    <w:p>
      <w:r>
        <w:t>a) Агенция за ядрено регулиране;</w:t>
      </w:r>
    </w:p>
    <w:p>
      <w:r>
        <w:t>b) Висшата атестационна комисия;</w:t>
      </w:r>
    </w:p>
    <w:p>
      <w:r>
        <w:t>c) Държавна комисия за енергийно и водно регулиране;</w:t>
      </w:r>
    </w:p>
    <w:p>
      <w:r>
        <w:t>d) Държавна комисия по сигурността на информацията;</w:t>
      </w:r>
    </w:p>
    <w:p>
      <w:r>
        <w:t>e) Комисия за защита на конкуренцията;</w:t>
      </w:r>
    </w:p>
    <w:p>
      <w:r>
        <w:t>f) Комисия за защита на личните данни;</w:t>
      </w:r>
    </w:p>
    <w:p>
      <w:r>
        <w:t>g) Комисия за защита от дискриминация;</w:t>
      </w:r>
    </w:p>
    <w:p>
      <w:r>
        <w:t>h) Комисия за регулиране на съобщенията;</w:t>
      </w:r>
    </w:p>
    <w:p>
      <w:r>
        <w:t>i) Комисия за финансов надзор;</w:t>
      </w:r>
    </w:p>
    <w:p>
      <w:r>
        <w:t>j) Патентно ведомство на Република България;</w:t>
      </w:r>
    </w:p>
    <w:p>
      <w:r>
        <w:t>k) Сметна палата на Република България;</w:t>
      </w:r>
    </w:p>
    <w:p>
      <w:r>
        <w:t>l) Агенция за приватизация;</w:t>
      </w:r>
    </w:p>
    <w:p>
      <w:r>
        <w:t>(m)Агенция за следприватизационен контрол;</w:t>
      </w:r>
    </w:p>
    <w:p>
      <w:r>
        <w:t>n) Български институт по метрология;</w:t>
      </w:r>
    </w:p>
    <w:p>
      <w:r>
        <w:t>o) Държавна агенция ‘Архиви’;</w:t>
      </w:r>
    </w:p>
    <w:p>
      <w:r>
        <w:t>p) Държавна агенция ‘Държавен резерв и военновременни запаси’;</w:t>
      </w:r>
    </w:p>
    <w:p>
      <w:r>
        <w:t>q) Държавна агенция ‘Национална сигурност’;</w:t>
      </w:r>
    </w:p>
    <w:p>
      <w:r>
        <w:t>r) Държавна агенция за бежанците;</w:t>
      </w:r>
    </w:p>
    <w:p>
      <w:r>
        <w:t>s) Държавна агенция за българите в чужбина;</w:t>
      </w:r>
    </w:p>
    <w:p>
      <w:r>
        <w:t>t) Държавна агенция за закрила на детето;</w:t>
      </w:r>
    </w:p>
    <w:p>
      <w:r>
        <w:t>u) Държавна агенция за информационни технологии и съобщения;</w:t>
      </w:r>
    </w:p>
    <w:p>
      <w:r>
        <w:t>v) Държавна агенция за метрологичен и технически надзор;</w:t>
      </w:r>
    </w:p>
    <w:p>
      <w:r>
        <w:t>(w)Държавна агенция за младежта и спорта;</w:t>
      </w:r>
    </w:p>
    <w:p>
      <w:r>
        <w:t>x) Държавна агенция по горите;</w:t>
      </w:r>
    </w:p>
    <w:p>
      <w:r>
        <w:t>y) Държавна агенция по туризма;</w:t>
      </w:r>
    </w:p>
    <w:p>
      <w:r>
        <w:t>z) Държавна комисия по стоковите борси и тържища;</w:t>
      </w:r>
    </w:p>
    <w:p>
      <w:r>
        <w:t>(aa) Институт по публична администрация и европейска интеграция;</w:t>
      </w:r>
    </w:p>
    <w:p>
      <w:r>
        <w:t>(bb) Национален статистически институт;</w:t>
      </w:r>
    </w:p>
    <w:p>
      <w:r>
        <w:t>(cc) Национална агенция за оценяване и акредитация;</w:t>
      </w:r>
    </w:p>
    <w:p>
      <w:r>
        <w:t>(dd) Националната агенция за професионално образование и обучение;</w:t>
      </w:r>
    </w:p>
    <w:p>
      <w:r>
        <w:t>(ee) Национална комисия за борба с трафика на хора;</w:t>
      </w:r>
    </w:p>
    <w:p>
      <w:r>
        <w:t>(ff) Агенция ‘Митници’;</w:t>
      </w:r>
    </w:p>
    <w:p>
      <w:r>
        <w:t>(gg) Агенция за държавна и финансова инспекция;</w:t>
      </w:r>
    </w:p>
    <w:p>
      <w:r>
        <w:t>(hh) Агенция за държавни вземания;</w:t>
      </w:r>
    </w:p>
    <w:p>
      <w:r>
        <w:t>ii) Агенция за социално подпомагане;</w:t>
      </w:r>
    </w:p>
    <w:p>
      <w:r>
        <w:t>(jj) Агенция за хората с увреждания;</w:t>
      </w:r>
    </w:p>
    <w:p>
      <w:r>
        <w:t>(kk)Агенция по вписванията;</w:t>
      </w:r>
    </w:p>
    <w:p>
      <w:r>
        <w:t>(ll) Агенция по геодезия, картография и кадастър;</w:t>
      </w:r>
    </w:p>
    <w:p>
      <w:r>
        <w:t>(mm) Агенция по енергийна ефективност;</w:t>
      </w:r>
    </w:p>
    <w:p>
      <w:r>
        <w:t>(nn) Агенция по заетостта;</w:t>
      </w:r>
    </w:p>
    <w:p>
      <w:r>
        <w:t>(oo) Агенция по обществени поръчки;</w:t>
      </w:r>
    </w:p>
    <w:p>
      <w:r>
        <w:t>(pp)Българска агенция за инвестиции;</w:t>
      </w:r>
    </w:p>
    <w:p>
      <w:r>
        <w:t>(qq) Главна дирекция ‘Гражданска въздухоплавателна администрация’;</w:t>
      </w:r>
    </w:p>
    <w:p>
      <w:r>
        <w:t>(rr) Дирекция ‘Материално-техническо осигуряване и социално</w:t>
      </w:r>
    </w:p>
    <w:p>
      <w:r>
        <w:t>обслужване’ на Министерство на вътрешните работи;</w:t>
      </w:r>
    </w:p>
    <w:p>
      <w:r>
        <w:t>(ss) Дирекция ‘Оперативно издирване’ на Министерство на</w:t>
      </w:r>
    </w:p>
    <w:p>
      <w:r>
        <w:t>вътрешните работи;</w:t>
      </w:r>
    </w:p>
    <w:p>
      <w:r>
        <w:t>(tt) Дирекция ‘Финансово-ресурсно осигуряване’ на Министерство навътрешните работи;</w:t>
      </w:r>
    </w:p>
    <w:p>
      <w:r>
        <w:t>(uu) Дирекция за национален строителен контрол;</w:t>
      </w:r>
    </w:p>
    <w:p>
      <w:r>
        <w:t>(vv) Държавна комисия по хазарта;</w:t>
      </w:r>
    </w:p>
    <w:p>
      <w:r>
        <w:t>(ww) Изпълнителна агенция ‘Автомобилна администрация’;</w:t>
      </w:r>
    </w:p>
    <w:p>
      <w:r>
        <w:t>(xx) Изпълнителна агенция ‘Борба с градушките’;</w:t>
      </w:r>
    </w:p>
    <w:p>
      <w:r>
        <w:t>(yy) Изпълнителна агенция ‘Българска служба за акредитация’;</w:t>
      </w:r>
    </w:p>
    <w:p>
      <w:r>
        <w:t>(zz) Изпълнителна агенция ‘Военни клубове и информация’;</w:t>
      </w:r>
    </w:p>
    <w:p>
      <w:r>
        <w:t>(aaa) Изпълнителна агенция ‘Главна инспекция по труда’;</w:t>
      </w:r>
    </w:p>
    <w:p>
      <w:r>
        <w:t>(bbb) Изпълнителна агенция ‘Държавна собственост на Министерството</w:t>
      </w:r>
    </w:p>
    <w:p>
      <w:r>
        <w:t>наотбраната’;</w:t>
      </w:r>
    </w:p>
    <w:p>
      <w:r>
        <w:t>(ccc) Изпълнителна агенция ‘Железопътна администрация’;</w:t>
      </w:r>
    </w:p>
    <w:p>
      <w:r>
        <w:t>(ddd) Изпълнителна агенция ‘Изпитвания и контролни измервания на</w:t>
      </w:r>
    </w:p>
    <w:p>
      <w:r>
        <w:t>въоръжение, техника и имущества’;</w:t>
      </w:r>
    </w:p>
    <w:p>
      <w:r>
        <w:t>(eee) Изпълнителна агенция ‘Морска администрация’;</w:t>
      </w:r>
    </w:p>
    <w:p>
      <w:r>
        <w:t>(fff) Изпълнителна агенция ‘Национален филмов център’;</w:t>
      </w:r>
    </w:p>
    <w:p>
      <w:r>
        <w:t>(ggg) Изпълнителна агенция ‘Пристанищна администрация’;</w:t>
      </w:r>
    </w:p>
    <w:p>
      <w:r>
        <w:t>(hhh) Изпълнителна агенция ‘Проучване и поддържане на река Дунав’;</w:t>
      </w:r>
    </w:p>
    <w:p>
      <w:r>
        <w:t>iii) Изпълнителна агенция ‘Социални дейности на Министерството на</w:t>
      </w:r>
    </w:p>
    <w:p>
      <w:r>
        <w:t>отбраната’;</w:t>
      </w:r>
    </w:p>
    <w:p>
      <w:r>
        <w:t>(jjj) Изпълнителна агенция за икономически анализи и прогнози;</w:t>
      </w:r>
    </w:p>
    <w:p>
      <w:r>
        <w:t>(kkk) Изпълнителна агенция за насърчаване на малките и средни</w:t>
      </w:r>
    </w:p>
    <w:p>
      <w:r>
        <w:t>предприятия;</w:t>
      </w:r>
    </w:p>
    <w:p>
      <w:r>
        <w:t>(lll) Изпълнителна агенция по лекарствата;</w:t>
      </w:r>
    </w:p>
    <w:p>
      <w:r>
        <w:t>(mmm) Изпълнителна агенция по лозата и виното;</w:t>
      </w:r>
    </w:p>
    <w:p>
      <w:r>
        <w:t>(nnn) Изпълнителна агенция по околна среда;</w:t>
      </w:r>
    </w:p>
    <w:p>
      <w:r>
        <w:t>(ooo) Изпълнителна агенция по почвените ресурси;</w:t>
      </w:r>
    </w:p>
    <w:p>
      <w:r>
        <w:t>(ppp) Изпълнителна агенция по рибарство и аквакултури;</w:t>
      </w:r>
    </w:p>
    <w:p>
      <w:r>
        <w:t>(qqq) Изпълнителна агенция по селекция и репродукция в</w:t>
      </w:r>
    </w:p>
    <w:p>
      <w:r>
        <w:t>животновъдството;</w:t>
      </w:r>
    </w:p>
    <w:p>
      <w:r>
        <w:t>(rrr) Изпълнителна агенция по сортоизпитване, апробация и</w:t>
      </w:r>
    </w:p>
    <w:p>
      <w:r>
        <w:t>семеконтрол;</w:t>
      </w:r>
    </w:p>
    <w:p>
      <w:r>
        <w:t>(sss) Изпълнителна агенция по трансплантация;</w:t>
      </w:r>
    </w:p>
    <w:p>
      <w:r>
        <w:t>(ttt) Изпълнителна агенция по хидромелиорации;</w:t>
      </w:r>
    </w:p>
    <w:p>
      <w:r>
        <w:t>(uuu) Комисията за защита на потребителите;</w:t>
      </w:r>
    </w:p>
    <w:p>
      <w:r>
        <w:t>(vvv) Контролно-техническата инспекция;</w:t>
      </w:r>
    </w:p>
    <w:p>
      <w:r>
        <w:t>(www) Национален център за информация и документация;</w:t>
      </w:r>
    </w:p>
    <w:p>
      <w:r>
        <w:t>(xxx) Национален център по радиобиология и радиационна защита;</w:t>
      </w:r>
    </w:p>
    <w:p>
      <w:r>
        <w:t>(yyy) Национална агенция за приходите;</w:t>
      </w:r>
    </w:p>
    <w:p>
      <w:r>
        <w:t>(zzz) Национална ветеринарномедицинска служба;</w:t>
      </w:r>
    </w:p>
    <w:p>
      <w:r>
        <w:t>(aaaa)Национална служба ‘Полиция’;</w:t>
      </w:r>
    </w:p>
    <w:p>
      <w:r>
        <w:t>(bbbb) Национална служба ‘Пожарна безопасност и защита на</w:t>
      </w:r>
    </w:p>
    <w:p>
      <w:r>
        <w:t>населението’;</w:t>
      </w:r>
    </w:p>
    <w:p>
      <w:r>
        <w:t>(cccc) Национална служба за растителна защита;</w:t>
      </w:r>
    </w:p>
    <w:p>
      <w:r>
        <w:t>(dddd) Национална служба за съвети в земеделието;</w:t>
      </w:r>
    </w:p>
    <w:p>
      <w:r>
        <w:t>(eeee) Национална служба по зърното и фуражите;</w:t>
      </w:r>
    </w:p>
    <w:p>
      <w:r>
        <w:t>(ffff)Служба ‘Военна информация’;</w:t>
      </w:r>
    </w:p>
    <w:p>
      <w:r>
        <w:t>(gggg)Служба ‘Военна полиция’;</w:t>
      </w:r>
    </w:p>
    <w:p>
      <w:r>
        <w:t>(hhhh) Фонд ‘Републиканска пътна инфраструктура’;</w:t>
      </w:r>
    </w:p>
    <w:p>
      <w:r>
        <w:t>(iiii)Авиоотряд 28.</w:t>
      </w:r>
    </w:p>
    <w:p>
      <w:r>
        <w:t>(3) CZECHIA</w:t>
      </w:r>
    </w:p>
    <w:p>
      <w:r>
        <w:t>a) Ministerstvo dopravy;</w:t>
      </w:r>
    </w:p>
    <w:p>
      <w:r>
        <w:t>b) Ministerstvo financí;</w:t>
      </w:r>
    </w:p>
    <w:p>
      <w:r>
        <w:t>c) Ministerstvo kultury;</w:t>
      </w:r>
    </w:p>
    <w:p>
      <w:r>
        <w:t>d) Ministerstvo obrany;</w:t>
      </w:r>
    </w:p>
    <w:p>
      <w:r>
        <w:t>e) Ministerstvo pro místní rozvoj;</w:t>
      </w:r>
    </w:p>
    <w:p>
      <w:r>
        <w:t>f) Ministerstvo práce a sociálních věcí;</w:t>
      </w:r>
    </w:p>
    <w:p>
      <w:r>
        <w:t>g) Ministerstvo průmyslu a obchodu;</w:t>
      </w:r>
    </w:p>
    <w:p>
      <w:r>
        <w:t>h) Ministerstvo spravedlnosti;</w:t>
      </w:r>
    </w:p>
    <w:p>
      <w:r>
        <w:t>i) Ministerstvo školství, mládeže a tělovýchovy;</w:t>
      </w:r>
    </w:p>
    <w:p>
      <w:r>
        <w:t>j) Ministerstvo vnitra;</w:t>
      </w:r>
    </w:p>
    <w:p>
      <w:r>
        <w:t>k) Ministerstvo zahraničních věcí;</w:t>
      </w:r>
    </w:p>
    <w:p>
      <w:r>
        <w:t>l) Ministerstvo zdravotnictví;</w:t>
      </w:r>
    </w:p>
    <w:p>
      <w:r>
        <w:t>(m)Ministerstvo zemědělství;</w:t>
      </w:r>
    </w:p>
    <w:p>
      <w:r>
        <w:t>n) Ministerstvo životního prostředí;</w:t>
      </w:r>
    </w:p>
    <w:p>
      <w:r>
        <w:t>o) Poslanecká sněmovna PČR;</w:t>
      </w:r>
    </w:p>
    <w:p>
      <w:r>
        <w:t>p) Senát PČR;</w:t>
      </w:r>
    </w:p>
    <w:p>
      <w:r>
        <w:t>q) Kancelář prezidenta;</w:t>
      </w:r>
    </w:p>
    <w:p>
      <w:r>
        <w:t>r) Český statistický úřad;</w:t>
      </w:r>
    </w:p>
    <w:p>
      <w:r>
        <w:t>s) Český úřad zeměměřičský a katastrální;</w:t>
      </w:r>
    </w:p>
    <w:p>
      <w:r>
        <w:t>t) Úřad průmyslového vlastnictví;</w:t>
      </w:r>
    </w:p>
    <w:p>
      <w:r>
        <w:t>u) Úřad pro ochranu osobních údajů;</w:t>
      </w:r>
    </w:p>
    <w:p>
      <w:r>
        <w:t>v) Bezpečnostní informační služba;</w:t>
      </w:r>
    </w:p>
    <w:p>
      <w:r>
        <w:t>(w)Národní bezpečnostní úřad;</w:t>
      </w:r>
    </w:p>
    <w:p>
      <w:r>
        <w:t>x) Česká akademie věd;</w:t>
      </w:r>
    </w:p>
    <w:p>
      <w:r>
        <w:t>y) Vězeňská služba;</w:t>
      </w:r>
    </w:p>
    <w:p>
      <w:r>
        <w:t>z) Český báňský úřad;</w:t>
      </w:r>
    </w:p>
    <w:p>
      <w:r>
        <w:t>(aa)Úřad pro ochranu hospodářské soutěže;</w:t>
      </w:r>
    </w:p>
    <w:p>
      <w:r>
        <w:t>(bb)Správa státních hmotných rezerv;</w:t>
      </w:r>
    </w:p>
    <w:p>
      <w:r>
        <w:t>(cc)Státní úřad pro jadernou bezpečnost;</w:t>
      </w:r>
    </w:p>
    <w:p>
      <w:r>
        <w:t>(dd)Česká národní banka;</w:t>
      </w:r>
    </w:p>
    <w:p>
      <w:r>
        <w:t>(ee)Energetický regulační úřad;</w:t>
      </w:r>
    </w:p>
    <w:p>
      <w:r>
        <w:t>(ff)Úřad vlády České republiky;</w:t>
      </w:r>
    </w:p>
    <w:p>
      <w:r>
        <w:t>(gg)Ústavní soud;</w:t>
      </w:r>
    </w:p>
    <w:p>
      <w:r>
        <w:t>(hh)Nejvyšší soud;</w:t>
      </w:r>
    </w:p>
    <w:p>
      <w:r>
        <w:t>ii) Nejvyšší správní soud;</w:t>
      </w:r>
    </w:p>
    <w:p>
      <w:r>
        <w:t>(jj) Nejvyšší státní zastupitelství;</w:t>
      </w:r>
    </w:p>
    <w:p>
      <w:r>
        <w:t>(kk)Nejvyšší kontrolní úřad;</w:t>
      </w:r>
    </w:p>
    <w:p>
      <w:r>
        <w:t>(ll) Kancelář Veřejného ochránce práv;</w:t>
      </w:r>
    </w:p>
    <w:p>
      <w:r>
        <w:t>(mm)Grantová agentura České republiky;</w:t>
      </w:r>
    </w:p>
    <w:p>
      <w:r>
        <w:t>(nn)Státní úřad inspekce prace;</w:t>
      </w:r>
    </w:p>
    <w:p>
      <w:r>
        <w:t>(oo)Český telekomunikační úřad.</w:t>
      </w:r>
    </w:p>
    <w:p>
      <w:r>
        <w:t>(4) DENMARK</w:t>
      </w:r>
    </w:p>
    <w:p>
      <w:r>
        <w:t>a) Folketinget;</w:t>
      </w:r>
    </w:p>
    <w:p>
      <w:r>
        <w:t>b) Rigsrevisionen;</w:t>
      </w:r>
    </w:p>
    <w:p>
      <w:r>
        <w:t>c) Statsministeriet;</w:t>
      </w:r>
    </w:p>
    <w:p>
      <w:r>
        <w:t>d) Udenrigsministeriet;</w:t>
      </w:r>
    </w:p>
    <w:p>
      <w:r>
        <w:t>e) Beskæftigelsesministeriet:</w:t>
      </w:r>
    </w:p>
    <w:p>
      <w:r>
        <w:t>f) Fem styrelser og institutioner (five agencies and institutions);</w:t>
      </w:r>
    </w:p>
    <w:p>
      <w:r>
        <w:t>g) Domstolsstyrelsen;</w:t>
      </w:r>
    </w:p>
    <w:p>
      <w:r>
        <w:t>h) Finansministeriet:</w:t>
      </w:r>
    </w:p>
    <w:p>
      <w:r>
        <w:t>i) Fem styrelser og institutioner (five agencies and institutions);</w:t>
      </w:r>
    </w:p>
    <w:p>
      <w:r>
        <w:t>j) Forsvarsministeriet:</w:t>
      </w:r>
    </w:p>
    <w:p>
      <w:r>
        <w:t>k) Fem styrelser og institutioner (five agencies and institutions);</w:t>
      </w:r>
    </w:p>
    <w:p>
      <w:r>
        <w:t>l) Ministeriet for Sundhed og Forebyggelse:</w:t>
      </w:r>
    </w:p>
    <w:p>
      <w:r>
        <w:t>(m)Adskillige styrelser og institutioner, herunder Statens Serum Institut (Several</w:t>
      </w:r>
    </w:p>
    <w:p>
      <w:r>
        <w:t>agencies and institutions, including Statens Serum Institut);</w:t>
      </w:r>
    </w:p>
    <w:p>
      <w:r>
        <w:t>n) Justitsministeriet:</w:t>
      </w:r>
    </w:p>
    <w:p>
      <w:r>
        <w:t>o) Rigspolitichefen, anklagemyndigheden samt en direktorat og et antal styrelser (Commissioner of Police, the public prosecutor, a directorate and a number of agencies);</w:t>
      </w:r>
    </w:p>
    <w:p>
      <w:r>
        <w:t>p) Kirkeministeriet:</w:t>
      </w:r>
    </w:p>
    <w:p>
      <w:r>
        <w:t>q) Ti stiftsøvrigheder (ten diocesan authorities);</w:t>
      </w:r>
    </w:p>
    <w:p>
      <w:r>
        <w:t>r) Kulturministeriet — Ministry of Culture:</w:t>
      </w:r>
    </w:p>
    <w:p>
      <w:r>
        <w:t>s) Fire styrelser samt et antal statsinstitutioner (four departments and a number of institutions);</w:t>
      </w:r>
    </w:p>
    <w:p>
      <w:r>
        <w:t>t) Miljøministeriet:</w:t>
      </w:r>
    </w:p>
    <w:p>
      <w:r>
        <w:t>u) Fem styrelser (five agencies);</w:t>
      </w:r>
    </w:p>
    <w:p>
      <w:r>
        <w:t>v) Ministeriet for Flygtninge, Invandrere og Integration:</w:t>
      </w:r>
    </w:p>
    <w:p>
      <w:r>
        <w:t>(w)En styrelse (a agency);</w:t>
      </w:r>
    </w:p>
    <w:p>
      <w:r>
        <w:t>x) Ministeriet for Fødevarer, Landbrug og Fiskeri:</w:t>
      </w:r>
    </w:p>
    <w:p>
      <w:r>
        <w:t>y) Fire direktoraterog institutioner (four directorates and institutions);</w:t>
      </w:r>
    </w:p>
    <w:p>
      <w:r>
        <w:t>z) Ministeriet for Videnskab, Teknologi og Udvikling:</w:t>
      </w:r>
    </w:p>
    <w:p>
      <w:r>
        <w:t>(aa)Adskillige styrelser og institutioner, Forskningscenter Risø og Statens</w:t>
      </w:r>
    </w:p>
    <w:p>
      <w:r>
        <w:t>uddannelsesbygninger (Several agencies and institutions, including Risoe National Laboratory and Danish National Research and Education Buildings);</w:t>
      </w:r>
    </w:p>
    <w:p>
      <w:r>
        <w:t>(bb)Skatteministeriet:</w:t>
      </w:r>
    </w:p>
    <w:p>
      <w:r>
        <w:t>(cc)En styrelse og institutioner (a agency and several institutions);</w:t>
      </w:r>
    </w:p>
    <w:p>
      <w:r>
        <w:t>(dd)Velfærdsministeriet:</w:t>
      </w:r>
    </w:p>
    <w:p>
      <w:r>
        <w:t>(ee)Tre styrelser og institutioner (three agencies and several institutions);</w:t>
      </w:r>
    </w:p>
    <w:p>
      <w:r>
        <w:t>(ff)Transportministeriet:</w:t>
      </w:r>
    </w:p>
    <w:p>
      <w:r>
        <w:t>(gg)Syv styrelser og institutioner, herunder Øresundsbrokonsortiet (seven agencies</w:t>
      </w:r>
    </w:p>
    <w:p>
      <w:r>
        <w:t>and institutions, including Øresundsbrokonsortiet);</w:t>
      </w:r>
    </w:p>
    <w:p>
      <w:r>
        <w:t>(hh)Undervisningsministeriet:</w:t>
      </w:r>
    </w:p>
    <w:p>
      <w:r>
        <w:t>ii) Tre styrelser, fire undervisningsinstitutioner og fem andre institutioner (three agencies, four educational establishments, five other institutions);</w:t>
      </w:r>
    </w:p>
    <w:p>
      <w:r>
        <w:t>(jj) Økonomi- og Erhvervsministeriet:</w:t>
      </w:r>
    </w:p>
    <w:p>
      <w:r>
        <w:t>(kk)Adskilligestyrelser og institutioner (Several agencies and institutions);</w:t>
      </w:r>
    </w:p>
    <w:p>
      <w:r>
        <w:t>(ll) Klima- og Energiministeriet:</w:t>
      </w:r>
    </w:p>
    <w:p>
      <w:r>
        <w:t>(mm)Tre styrelse og institutioner (three agencies and institutions).</w:t>
      </w:r>
    </w:p>
    <w:p>
      <w:r>
        <w:t>(5) GERMANY</w:t>
      </w:r>
    </w:p>
    <w:p>
      <w:r>
        <w:t>a) Auswärtiges Amt;</w:t>
      </w:r>
    </w:p>
    <w:p>
      <w:r>
        <w:t>b) Bundeskanzleramt;</w:t>
      </w:r>
    </w:p>
    <w:p>
      <w:r>
        <w:t>c) Bundesministerium für Arbeit und Soziales;</w:t>
      </w:r>
    </w:p>
    <w:p>
      <w:r>
        <w:t>d) Bundesministerium für Bildung und Forschung;</w:t>
      </w:r>
    </w:p>
    <w:p>
      <w:r>
        <w:t>e) Bundesministerium für Ernährung, Landwirtschaft und Verbraucherschutz;</w:t>
      </w:r>
    </w:p>
    <w:p>
      <w:r>
        <w:t>f) Bundesministerium der Finanzen;</w:t>
      </w:r>
    </w:p>
    <w:p>
      <w:r>
        <w:t>g) Bundesministerium des Innern (only civil goods);</w:t>
      </w:r>
    </w:p>
    <w:p>
      <w:r>
        <w:t>h) Bundesministerium für Gesundheit;</w:t>
      </w:r>
    </w:p>
    <w:p>
      <w:r>
        <w:t>i) Bundesministerium für Familie, Senioren, Frauen und Jugend;</w:t>
      </w:r>
    </w:p>
    <w:p>
      <w:r>
        <w:t>j) Bundesministerium der Justiz;</w:t>
      </w:r>
    </w:p>
    <w:p>
      <w:r>
        <w:t>k) Bundesministerium für Verkehr, Bau und Stadtentwicklung;</w:t>
      </w:r>
    </w:p>
    <w:p>
      <w:r>
        <w:t>l) Bundesministerium für Wirtschaft und Technologie;</w:t>
      </w:r>
    </w:p>
    <w:p>
      <w:r>
        <w:t>(m)Bundesministerium für wirtschaftliche Zusammenarbeit und Entwicklung;</w:t>
      </w:r>
    </w:p>
    <w:p>
      <w:r>
        <w:t>n) Bundesministerium der Verteidigung (no military goods);</w:t>
      </w:r>
    </w:p>
    <w:p>
      <w:r>
        <w:t>o) Bundesministerium für Umwelt, Naturschutz und Reaktorsicherheit.</w:t>
      </w:r>
    </w:p>
    <w:p>
      <w:r>
        <w:t>(6) ESTONIA</w:t>
      </w:r>
    </w:p>
    <w:p>
      <w:r>
        <w:t>a) Vabariigi Presidendi Kantselei;</w:t>
      </w:r>
    </w:p>
    <w:p>
      <w:r>
        <w:t>b) Eesti Vabariigi Riigikogu;</w:t>
      </w:r>
    </w:p>
    <w:p>
      <w:r>
        <w:t>c) Eesti Vabariigi Riigikohus;</w:t>
      </w:r>
    </w:p>
    <w:p>
      <w:r>
        <w:t>d) Riigikontroll;</w:t>
      </w:r>
    </w:p>
    <w:p>
      <w:r>
        <w:t>e) Õiguskantsler;</w:t>
      </w:r>
    </w:p>
    <w:p>
      <w:r>
        <w:t>f) Riigikantselei;</w:t>
      </w:r>
    </w:p>
    <w:p>
      <w:r>
        <w:t>g) Rahvusarhiiv;</w:t>
      </w:r>
    </w:p>
    <w:p>
      <w:r>
        <w:t>h) Haridus- ja Teadusministeerium;</w:t>
      </w:r>
    </w:p>
    <w:p>
      <w:r>
        <w:t>i) Justiitsministeerium;</w:t>
      </w:r>
    </w:p>
    <w:p>
      <w:r>
        <w:t>j) Kaitseministeerium;</w:t>
      </w:r>
    </w:p>
    <w:p>
      <w:r>
        <w:t>k) Keskkonnaministeerium;</w:t>
      </w:r>
    </w:p>
    <w:p>
      <w:r>
        <w:t>l) Kultuuriministeerium;</w:t>
      </w:r>
    </w:p>
    <w:p>
      <w:r>
        <w:t>(m)Majandus- ja Kommunikatsiooniministeerium;</w:t>
      </w:r>
    </w:p>
    <w:p>
      <w:r>
        <w:t>n) Põllumajandusministeerium;</w:t>
      </w:r>
    </w:p>
    <w:p>
      <w:r>
        <w:t>o) Rahandusministeerium;</w:t>
      </w:r>
    </w:p>
    <w:p>
      <w:r>
        <w:t>p) Siseministeerium;</w:t>
      </w:r>
    </w:p>
    <w:p>
      <w:r>
        <w:t>q) Sotsiaalministeerium;</w:t>
      </w:r>
    </w:p>
    <w:p>
      <w:r>
        <w:t>r) Välisministeerium;</w:t>
      </w:r>
    </w:p>
    <w:p>
      <w:r>
        <w:t>s) Keeleinspektsioon;</w:t>
      </w:r>
    </w:p>
    <w:p>
      <w:r>
        <w:t>t) Riigiprokuratuur;</w:t>
      </w:r>
    </w:p>
    <w:p>
      <w:r>
        <w:t>u) Teabeamet;</w:t>
      </w:r>
    </w:p>
    <w:p>
      <w:r>
        <w:t>v) Maa-amet;</w:t>
      </w:r>
    </w:p>
    <w:p>
      <w:r>
        <w:t>(w)Keskkonnainspektsioon;</w:t>
      </w:r>
    </w:p>
    <w:p>
      <w:r>
        <w:t>x) Metsakaitse- ja Metsauuenduskeskus;</w:t>
      </w:r>
    </w:p>
    <w:p>
      <w:r>
        <w:t>y) Muinsuskaitseamet;</w:t>
      </w:r>
    </w:p>
    <w:p>
      <w:r>
        <w:t>z) Patendiamet;</w:t>
      </w:r>
    </w:p>
    <w:p>
      <w:r>
        <w:t>(aa)Tarbijakaitseamet;</w:t>
      </w:r>
    </w:p>
    <w:p>
      <w:r>
        <w:t>(bb)Riigihangete Amet;</w:t>
      </w:r>
    </w:p>
    <w:p>
      <w:r>
        <w:t>(cc)Taimetoodangu Inspektsioon;</w:t>
      </w:r>
    </w:p>
    <w:p>
      <w:r>
        <w:t>(dd)Põllumajanduse Registrite ja Informatsiooni Amet;</w:t>
      </w:r>
    </w:p>
    <w:p>
      <w:r>
        <w:t>(ee)Veterinaar- ja Toiduamet;</w:t>
      </w:r>
    </w:p>
    <w:p>
      <w:r>
        <w:t>(ff)Konkurentsiamet;</w:t>
      </w:r>
    </w:p>
    <w:p>
      <w:r>
        <w:t>(gg)Maksu –ja Tolliamet;</w:t>
      </w:r>
    </w:p>
    <w:p>
      <w:r>
        <w:t>(hh)Statistikaamet;</w:t>
      </w:r>
    </w:p>
    <w:p>
      <w:r>
        <w:t>ii) Kaitsepolitseiamet;</w:t>
      </w:r>
    </w:p>
    <w:p>
      <w:r>
        <w:t>(jj) Kodakondsus- ja Migratsiooniamet;</w:t>
      </w:r>
    </w:p>
    <w:p>
      <w:r>
        <w:t>(kk)Piirivalveamet;</w:t>
      </w:r>
    </w:p>
    <w:p>
      <w:r>
        <w:t>(ll) Politseiamet;</w:t>
      </w:r>
    </w:p>
    <w:p>
      <w:r>
        <w:t>(mm)Eesti Kohtuekspertiisi Instituut;</w:t>
      </w:r>
    </w:p>
    <w:p>
      <w:r>
        <w:t>(nn)Keskkriminaalpolitsei;</w:t>
      </w:r>
    </w:p>
    <w:p>
      <w:r>
        <w:t>(oo)Päästeamet;</w:t>
      </w:r>
    </w:p>
    <w:p>
      <w:r>
        <w:t>(pp)Andmekaitse Inspektsioon;</w:t>
      </w:r>
    </w:p>
    <w:p>
      <w:r>
        <w:t>(qq)Ravimiamet;</w:t>
      </w:r>
    </w:p>
    <w:p>
      <w:r>
        <w:t>(rr)Sotsiaalkindlustusamet;</w:t>
      </w:r>
    </w:p>
    <w:p>
      <w:r>
        <w:t>(ss)Tööturuamet;</w:t>
      </w:r>
    </w:p>
    <w:p>
      <w:r>
        <w:t>(tt) Tervishoiuamet;</w:t>
      </w:r>
    </w:p>
    <w:p>
      <w:r>
        <w:t>(uu)Tervisekaitseinspektsioon;</w:t>
      </w:r>
    </w:p>
    <w:p>
      <w:r>
        <w:t>(vv)Tööinspektsioon;</w:t>
      </w:r>
    </w:p>
    <w:p>
      <w:r>
        <w:t>(ww)Lennuamet;</w:t>
      </w:r>
    </w:p>
    <w:p>
      <w:r>
        <w:t>(xx)Maanteeamet;</w:t>
      </w:r>
    </w:p>
    <w:p>
      <w:r>
        <w:t>(yy)Veeteede Amet;</w:t>
      </w:r>
    </w:p>
    <w:p>
      <w:r>
        <w:t>(zz)Julgestuspolitsei;</w:t>
      </w:r>
    </w:p>
    <w:p>
      <w:r>
        <w:t>(aaa)Kaitseressursside Amet;</w:t>
      </w:r>
    </w:p>
    <w:p>
      <w:r>
        <w:t>(bbb)Kaitseväe Logistikakeskus;</w:t>
      </w:r>
    </w:p>
    <w:p>
      <w:r>
        <w:t>(ccc)Tehnilise Järelevalve Amet.</w:t>
      </w:r>
    </w:p>
    <w:p>
      <w:r>
        <w:t>(7) IRELAND</w:t>
      </w:r>
    </w:p>
    <w:p>
      <w:r>
        <w:t>a) President’s Establishment;</w:t>
      </w:r>
    </w:p>
    <w:p>
      <w:r>
        <w:t>b) Houses of the Oireachtas — [Parliament];</w:t>
      </w:r>
    </w:p>
    <w:p>
      <w:r>
        <w:t>c) Department of the Taoiseach — [Prime Minister];</w:t>
      </w:r>
    </w:p>
    <w:p>
      <w:r>
        <w:t>d) Central Statistics Office;</w:t>
      </w:r>
    </w:p>
    <w:p>
      <w:r>
        <w:t>e) Department of Finance;</w:t>
      </w:r>
    </w:p>
    <w:p>
      <w:r>
        <w:t>f) Office of the Comptroller and Auditor General;</w:t>
      </w:r>
    </w:p>
    <w:p>
      <w:r>
        <w:t>g) Office of the Revenue Commissioners;</w:t>
      </w:r>
    </w:p>
    <w:p>
      <w:r>
        <w:t>h) Office of Public Works;</w:t>
      </w:r>
    </w:p>
    <w:p>
      <w:r>
        <w:t>i) State Laboratory;</w:t>
      </w:r>
    </w:p>
    <w:p>
      <w:r>
        <w:t>j) Office of the Attorney General;</w:t>
      </w:r>
    </w:p>
    <w:p>
      <w:r>
        <w:t>k) Office of the Director of Public Prosecutions;</w:t>
      </w:r>
    </w:p>
    <w:p>
      <w:r>
        <w:t>l) Valuation Office;</w:t>
      </w:r>
    </w:p>
    <w:p>
      <w:r>
        <w:t>(m)Office of the Commission for Public Service Appointments;</w:t>
      </w:r>
    </w:p>
    <w:p>
      <w:r>
        <w:t>n) Public Appointments Service;</w:t>
      </w:r>
    </w:p>
    <w:p>
      <w:r>
        <w:t>o) Office of the Ombudsman;</w:t>
      </w:r>
    </w:p>
    <w:p>
      <w:r>
        <w:t>p) Chief State Solicitor’s Office;</w:t>
      </w:r>
    </w:p>
    <w:p>
      <w:r>
        <w:t>q) Department of Justice, Equality and Law Reform;</w:t>
      </w:r>
    </w:p>
    <w:p>
      <w:r>
        <w:t>r) Courts Service;</w:t>
      </w:r>
    </w:p>
    <w:p>
      <w:r>
        <w:t>s) Prisons Service;</w:t>
      </w:r>
    </w:p>
    <w:p>
      <w:r>
        <w:t>t) Office of the Commissioners of Charitable Donations and Bequests;</w:t>
      </w:r>
    </w:p>
    <w:p>
      <w:r>
        <w:t>u) Department of the Environment, Heritage and Local Government;</w:t>
      </w:r>
    </w:p>
    <w:p>
      <w:r>
        <w:t>v) Department of Education and Science;</w:t>
      </w:r>
    </w:p>
    <w:p>
      <w:r>
        <w:t>(w)Department of Communications, Energy and Natural Resources;</w:t>
      </w:r>
    </w:p>
    <w:p>
      <w:r>
        <w:t>x) Department of Agriculture, Fisheries and Food;</w:t>
      </w:r>
    </w:p>
    <w:p>
      <w:r>
        <w:t>y) Department of Transport;</w:t>
      </w:r>
    </w:p>
    <w:p>
      <w:r>
        <w:t>z) Department of Health and Children;</w:t>
      </w:r>
    </w:p>
    <w:p>
      <w:r>
        <w:t>(aa)Department of Enterprise, Trade and Employment;</w:t>
      </w:r>
    </w:p>
    <w:p>
      <w:r>
        <w:t>(bb)Department of Arts, Sports and Tourism;</w:t>
      </w:r>
    </w:p>
    <w:p>
      <w:r>
        <w:t>(cc)Department of Defence;</w:t>
      </w:r>
    </w:p>
    <w:p>
      <w:r>
        <w:t>(dd)Department of Foreign Affairs;</w:t>
      </w:r>
    </w:p>
    <w:p>
      <w:r>
        <w:t>(ee)Department of Social and Family Affairs;</w:t>
      </w:r>
    </w:p>
    <w:p>
      <w:r>
        <w:t>(ff)Department of Community, Rural and Gaeltacht — [Gaelic speaking regions]</w:t>
      </w:r>
    </w:p>
    <w:p>
      <w:r>
        <w:t>Affairs;</w:t>
      </w:r>
    </w:p>
    <w:p>
      <w:r>
        <w:t>(gg)Arts Council;</w:t>
      </w:r>
    </w:p>
    <w:p>
      <w:r>
        <w:t>(hh)National Gallery.</w:t>
      </w:r>
    </w:p>
    <w:p>
      <w:r>
        <w:t>(8) GREECE</w:t>
      </w:r>
    </w:p>
    <w:p>
      <w:r>
        <w:t>a) Υπουργείο Εσωτερικών;</w:t>
      </w:r>
    </w:p>
    <w:p>
      <w:r>
        <w:t>b) Υπουργείο Εξωτερικών;</w:t>
      </w:r>
    </w:p>
    <w:p>
      <w:r>
        <w:t>c) Υπουργείο Οικονομίας και Οικονομικών;</w:t>
      </w:r>
    </w:p>
    <w:p>
      <w:r>
        <w:t>d) Υπουργείο Ανάπτυξης;</w:t>
      </w:r>
    </w:p>
    <w:p>
      <w:r>
        <w:t>e) Υπουργείο Δικαιοσύνης;</w:t>
      </w:r>
    </w:p>
    <w:p>
      <w:r>
        <w:t>f) Υπουργείο Εθνικής Παιδείας και Θρησκευμάτων;</w:t>
      </w:r>
    </w:p>
    <w:p>
      <w:r>
        <w:t>g) Υπουργείο Πολιτισμού;</w:t>
      </w:r>
    </w:p>
    <w:p>
      <w:r>
        <w:t>h) Υπουργείο Υγείας και Κοινωνικής Αλληλεγγύης;</w:t>
      </w:r>
    </w:p>
    <w:p>
      <w:r>
        <w:t>i) Υπουργείο Περιβάλλοντος, Χωροταξίας και Δημοσίων Έργων;</w:t>
      </w:r>
    </w:p>
    <w:p>
      <w:r>
        <w:t>j) Υπουργείο Απασχόλησης και Κοινωνικής Προστασίας;</w:t>
      </w:r>
    </w:p>
    <w:p>
      <w:r>
        <w:t>k) Υπουργείο Μεταφορών και Επικοινωνιών;</w:t>
      </w:r>
    </w:p>
    <w:p>
      <w:r>
        <w:t>l) Υπουργείο Αγροτικής Ανάπτυξης και Τροφίμων;</w:t>
      </w:r>
    </w:p>
    <w:p>
      <w:r>
        <w:t>(m)Υπουργείο Εμπορικής Ναυτιλίας, Αιγαίου και Νησιωτικής Πολιτικής;</w:t>
      </w:r>
    </w:p>
    <w:p>
      <w:r>
        <w:t>n) Υπουργείο Μακεδονίας- Θράκης;</w:t>
      </w:r>
    </w:p>
    <w:p>
      <w:r>
        <w:t>o) Γενική Γραμματεία Επικοινωνίας;</w:t>
      </w:r>
    </w:p>
    <w:p>
      <w:r>
        <w:t>p) Γενική Γραμματεία Ενημέρωσης;</w:t>
      </w:r>
    </w:p>
    <w:p>
      <w:r>
        <w:t>q) Γενική Γραμματεία Νέας Γενιάς;</w:t>
      </w:r>
    </w:p>
    <w:p>
      <w:r>
        <w:t>r) Γενική Γραμματεία Ισότητας;</w:t>
      </w:r>
    </w:p>
    <w:p>
      <w:r>
        <w:t>s) Γενική Γραμματεία Κοινωνικών Ασφαλίσεων;</w:t>
      </w:r>
    </w:p>
    <w:p>
      <w:r>
        <w:t>t) Γενική Γραμματεία Απόδημου Ελληνισμού;</w:t>
      </w:r>
    </w:p>
    <w:p>
      <w:r>
        <w:t>u) Γενική Γραμματεία Βιομηχανίας;</w:t>
      </w:r>
    </w:p>
    <w:p>
      <w:r>
        <w:t>v) Γενική Γραμματεία Έρευνας και Τεχνολογίας;</w:t>
      </w:r>
    </w:p>
    <w:p>
      <w:r>
        <w:t>(w)Γενική Γραμματεία Αθλητισμού;</w:t>
      </w:r>
    </w:p>
    <w:p>
      <w:r>
        <w:t>x) Γενική Γραμματεία Δημοσίων Έργων;</w:t>
      </w:r>
    </w:p>
    <w:p>
      <w:r>
        <w:t>y) Γενική Γραμματεία Εθνικής Στατιστικής Υπηρεσίας Ελλάδος;</w:t>
      </w:r>
    </w:p>
    <w:p>
      <w:r>
        <w:t>z) Εθνικό Συμβούλιο Κοινωνικής Φροντίδας;</w:t>
      </w:r>
    </w:p>
    <w:p>
      <w:r>
        <w:t>(aa)Οργανισμός Εργατικής Κατοικίας;</w:t>
      </w:r>
    </w:p>
    <w:p>
      <w:r>
        <w:t>(bb)Εθνικό Τυπογραφείο;</w:t>
      </w:r>
    </w:p>
    <w:p>
      <w:r>
        <w:t>(cc)Γενικό Χημείο του Κράτους;</w:t>
      </w:r>
    </w:p>
    <w:p>
      <w:r>
        <w:t>(dd)Ταμείο Εθνικής Οδοποιίας;</w:t>
      </w:r>
    </w:p>
    <w:p>
      <w:r>
        <w:t>(ee)Εθνικό Καποδιστριακό Πανεπιστήμιο Αθηνών;</w:t>
      </w:r>
    </w:p>
    <w:p>
      <w:r>
        <w:t>(ff)Αριστοτέλειο Πανεπιστήμιο Θεσσαλονίκης;</w:t>
      </w:r>
    </w:p>
    <w:p>
      <w:r>
        <w:t>(gg)Δημοκρίτειο Πανεπιστήμιο Θράκης;</w:t>
      </w:r>
    </w:p>
    <w:p>
      <w:r>
        <w:t>(hh)Πανεπιστήμιο Αιγαίου;</w:t>
      </w:r>
    </w:p>
    <w:p>
      <w:r>
        <w:t>ii) Πανεπιστήμιο Ιωαννίνων;</w:t>
      </w:r>
    </w:p>
    <w:p>
      <w:r>
        <w:t>(jj) Πανεπιστήμιο Πατρών;</w:t>
      </w:r>
    </w:p>
    <w:p>
      <w:r>
        <w:t>(kk)Πανεπιστήμιο Μακεδονίας;</w:t>
      </w:r>
    </w:p>
    <w:p>
      <w:r>
        <w:t>(ll) Πολυτεχνείο Κρήτης;</w:t>
      </w:r>
    </w:p>
    <w:p>
      <w:r>
        <w:t>(mm)Σιβιτανίδειος Δημόσια Σχολή Τεχνών και Επαγγελμάτων;</w:t>
      </w:r>
    </w:p>
    <w:p>
      <w:r>
        <w:t>(nn)Αιγινήτειο Νοσοκομείο;</w:t>
      </w:r>
    </w:p>
    <w:p>
      <w:r>
        <w:t>(oo)Αρεταίειο Νοσοκομείο;</w:t>
      </w:r>
    </w:p>
    <w:p>
      <w:r>
        <w:t>(pp)Εθνικό Κέντρο Δημόσιας Διοίκησης;</w:t>
      </w:r>
    </w:p>
    <w:p>
      <w:r>
        <w:t>(qq)Οργανισμός Διαχείρισης Δημοσίου Υλικού;</w:t>
      </w:r>
    </w:p>
    <w:p>
      <w:r>
        <w:t>(rr)Οργανισμός Γεωργικών Ασφαλίσεων;</w:t>
      </w:r>
    </w:p>
    <w:p>
      <w:r>
        <w:t>(ss)Οργανισμός Σχολικών Κτιρίων;</w:t>
      </w:r>
    </w:p>
    <w:p>
      <w:r>
        <w:t>(tt) Γενικό Επιτελείο Στρατού;</w:t>
      </w:r>
    </w:p>
    <w:p>
      <w:r>
        <w:t>(uu)Γενικό Επιτελείο Ναυτικού;</w:t>
      </w:r>
    </w:p>
    <w:p>
      <w:r>
        <w:t>(vv)Γενικό Επιτελείο Αεροπορίας;</w:t>
      </w:r>
    </w:p>
    <w:p>
      <w:r>
        <w:t>(ww)Ελληνική Επιτροπή Ατομικής Ενέργειας;</w:t>
      </w:r>
    </w:p>
    <w:p>
      <w:r>
        <w:t>(xx)Γενική Γραμματεία Εκπαίδευσης Ενηλίκων;</w:t>
      </w:r>
    </w:p>
    <w:p>
      <w:r>
        <w:t>(yy)Υπουργείο Εθνικής Άμυνας;</w:t>
      </w:r>
    </w:p>
    <w:p>
      <w:r>
        <w:t>(zz)Γενική Γραμματεία Εμπορίου.</w:t>
      </w:r>
    </w:p>
    <w:p>
      <w:r>
        <w:t>(9) SPAIN</w:t>
      </w:r>
    </w:p>
    <w:p>
      <w:r>
        <w:t>a) Presidencia de Gobierno;</w:t>
      </w:r>
    </w:p>
    <w:p>
      <w:r>
        <w:t>b) Ministerio de Asuntos Exteriores y de Cooperación;</w:t>
      </w:r>
    </w:p>
    <w:p>
      <w:r>
        <w:t>c) Ministerio de Justicia;</w:t>
      </w:r>
    </w:p>
    <w:p>
      <w:r>
        <w:t>d) Ministerio de Defensa;</w:t>
      </w:r>
    </w:p>
    <w:p>
      <w:r>
        <w:t>e) Ministerio de Economía y Hacienda;</w:t>
      </w:r>
    </w:p>
    <w:p>
      <w:r>
        <w:t>f) Ministerio del Interior;</w:t>
      </w:r>
    </w:p>
    <w:p>
      <w:r>
        <w:t>g) Ministerio de Fomento;</w:t>
      </w:r>
    </w:p>
    <w:p>
      <w:r>
        <w:t>h) Ministerio de Educación, Política Social y Deportes;</w:t>
      </w:r>
    </w:p>
    <w:p>
      <w:r>
        <w:t>i) Ministerio de Industria, Turismo y Comercio;</w:t>
      </w:r>
    </w:p>
    <w:p>
      <w:r>
        <w:t>j) Ministerio de Trabajo e Inmigración;</w:t>
      </w:r>
    </w:p>
    <w:p>
      <w:r>
        <w:t>k) Ministerio de la Presidencia;</w:t>
      </w:r>
    </w:p>
    <w:p>
      <w:r>
        <w:t>l) Ministerio de Administraciones Públicas;</w:t>
      </w:r>
    </w:p>
    <w:p>
      <w:r>
        <w:t>(m)Ministerio de Cultura;</w:t>
      </w:r>
    </w:p>
    <w:p>
      <w:r>
        <w:t>n) Ministerio de Sanidad y Consumo;</w:t>
      </w:r>
    </w:p>
    <w:p>
      <w:r>
        <w:t>o) Ministerio de Medio Ambiente y Medio Rural y Marino;</w:t>
      </w:r>
    </w:p>
    <w:p>
      <w:r>
        <w:t>p) Ministerio de Vivienda;</w:t>
      </w:r>
    </w:p>
    <w:p>
      <w:r>
        <w:t>q) Ministerio de Ciencia e Innovación;</w:t>
      </w:r>
    </w:p>
    <w:p>
      <w:r>
        <w:t>r) Ministerio de Igualdad.</w:t>
      </w:r>
    </w:p>
    <w:p>
      <w:r>
        <w:t>(10) FRANCE</w:t>
      </w:r>
    </w:p>
    <w:p>
      <w:r>
        <w:t>a) Ministries:</w:t>
      </w:r>
    </w:p>
    <w:p>
      <w:r>
        <w:t>a) Services du Premier ministre;</w:t>
      </w:r>
    </w:p>
    <w:p>
      <w:r>
        <w:t>b) Ministère chargé de la santé, de la jeunesse et des sports;</w:t>
      </w:r>
    </w:p>
    <w:p>
      <w:r>
        <w:t>c) Ministère chargé de l’intérieur, de l’outre-mer et des collectivités territoriales;</w:t>
      </w:r>
    </w:p>
    <w:p>
      <w:r>
        <w:t>d) Ministère chargé de la justice;</w:t>
      </w:r>
    </w:p>
    <w:p>
      <w:r>
        <w:t>e) Ministère chargé de la défense;</w:t>
      </w:r>
    </w:p>
    <w:p>
      <w:r>
        <w:t>f) Ministère chargé des affaires étrangères et européennes;</w:t>
      </w:r>
    </w:p>
    <w:p>
      <w:r>
        <w:t>g) Ministère chargé de l’éducation nationale;</w:t>
      </w:r>
    </w:p>
    <w:p>
      <w:r>
        <w:t>h) Ministère chargé de l’économie, des finances et de l’emploi;</w:t>
      </w:r>
    </w:p>
    <w:p>
      <w:r>
        <w:t>i) Secrétariat d’Etat aux transports;</w:t>
      </w:r>
    </w:p>
    <w:p>
      <w:r>
        <w:t>j) Secrétariat d’Etat aux entreprises et au commerce extérieur;</w:t>
      </w:r>
    </w:p>
    <w:p>
      <w:r>
        <w:t>k) Ministère chargé du travail, des relations sociales et de la solidarité;</w:t>
      </w:r>
    </w:p>
    <w:p>
      <w:r>
        <w:t>l) Ministère chargé de la culture et de la communication;</w:t>
      </w:r>
    </w:p>
    <w:p>
      <w:r>
        <w:t>(m)Ministère chargé du budget, des comptes publics et de la fonction</w:t>
      </w:r>
    </w:p>
    <w:p>
      <w:r>
        <w:t>publique;</w:t>
      </w:r>
    </w:p>
    <w:p>
      <w:r>
        <w:t>n) Ministère chargé de l’agriculture et de la pêche;</w:t>
      </w:r>
    </w:p>
    <w:p>
      <w:r>
        <w:t>o) Ministère chargé de l’enseignement supérieur et de la recherche;</w:t>
      </w:r>
    </w:p>
    <w:p>
      <w:r>
        <w:t>p) Ministère chargé de l’écologie, du développement et de l’aménagement durables;</w:t>
      </w:r>
    </w:p>
    <w:p>
      <w:r>
        <w:t>q) Secrétariat d’Etat à la fonction publique;</w:t>
      </w:r>
    </w:p>
    <w:p>
      <w:r>
        <w:t>r) Ministère chargé du logement et de la ville;</w:t>
      </w:r>
    </w:p>
    <w:p>
      <w:r>
        <w:t>s) Secrétariat d’Etat à la coopération et à la francophonie;</w:t>
      </w:r>
    </w:p>
    <w:p>
      <w:r>
        <w:t>t) Secrétariat d’Etat à l’outre-mer;</w:t>
      </w:r>
    </w:p>
    <w:p>
      <w:r>
        <w:t>u) Secrétariat d’Etat à la jeunesse, des sports et de la vie associative;</w:t>
      </w:r>
    </w:p>
    <w:p>
      <w:r>
        <w:t>v) Secrétariat d’Etat aux anciens combattants;</w:t>
      </w:r>
    </w:p>
    <w:p>
      <w:r>
        <w:t>(w)Ministère chargé de l’immigration, de l’intégration, de l’identité</w:t>
      </w:r>
    </w:p>
    <w:p>
      <w:r>
        <w:t>nationale et du co-développement;</w:t>
      </w:r>
    </w:p>
    <w:p>
      <w:r>
        <w:t>x) Secrétariat d’Etat en charge de la prospective et de l’évaluation des politiques publiques;</w:t>
      </w:r>
    </w:p>
    <w:p>
      <w:r>
        <w:t>y) Secrétariat d’Etat aux affaires européennes;</w:t>
      </w:r>
    </w:p>
    <w:p>
      <w:r>
        <w:t>z) Secrétariat d’Etat aux affaires étrangères et aux droits de l’homme;</w:t>
      </w:r>
    </w:p>
    <w:p>
      <w:r>
        <w:t>(aa)Secrétariat d’Etat à la consommation et au tourisme;</w:t>
      </w:r>
    </w:p>
    <w:p>
      <w:r>
        <w:t>(bb)Secrétariat d’Etat à la politique de la ville;</w:t>
      </w:r>
    </w:p>
    <w:p>
      <w:r>
        <w:t>(cc)Secrétariat d’Etat à la solidarité;</w:t>
      </w:r>
    </w:p>
    <w:p>
      <w:r>
        <w:t>(dd)Secrétariat d’Etat en charge de l’industrie et de la consommation;</w:t>
      </w:r>
    </w:p>
    <w:p>
      <w:r>
        <w:t>(ee)Secrétariat d’Etat en charge de l’emploi;</w:t>
      </w:r>
    </w:p>
    <w:p>
      <w:r>
        <w:t>(ff)Secrétariat d’Etat en charge du commerce, de l’artisanat, des PME, du</w:t>
      </w:r>
    </w:p>
    <w:p>
      <w:r>
        <w:t>tourisme et des services;</w:t>
      </w:r>
    </w:p>
    <w:p>
      <w:r>
        <w:t>(gg)Secrétariat d’Etat en charge de l’écologie;</w:t>
      </w:r>
    </w:p>
    <w:p>
      <w:r>
        <w:t>(hh)Secrétariat d’Etat en charge du développement de la région-capitale;</w:t>
      </w:r>
    </w:p>
    <w:p>
      <w:r>
        <w:t>ii) Secrétariat d’Etat en charge de l’aménagement du territoire;</w:t>
      </w:r>
    </w:p>
    <w:p>
      <w:r>
        <w:t>b) Institutions, independent authorities and jurisdictions:</w:t>
      </w:r>
    </w:p>
    <w:p>
      <w:r>
        <w:t>a) Présidence de la République;</w:t>
      </w:r>
    </w:p>
    <w:p>
      <w:r>
        <w:t>b) Assemblée Nationale;</w:t>
      </w:r>
    </w:p>
    <w:p>
      <w:r>
        <w:t>c) Sénat;</w:t>
      </w:r>
    </w:p>
    <w:p>
      <w:r>
        <w:t>d) Conseil constitutionnel;</w:t>
      </w:r>
    </w:p>
    <w:p>
      <w:r>
        <w:t>e) Conseil économique et social;</w:t>
      </w:r>
    </w:p>
    <w:p>
      <w:r>
        <w:t>f) Conseil supérieur de la magistrature;</w:t>
      </w:r>
    </w:p>
    <w:p>
      <w:r>
        <w:t>g) Agence française contre le dopage;</w:t>
      </w:r>
    </w:p>
    <w:p>
      <w:r>
        <w:t>h) Autorité de contrôle des assurances et des mutuelles;</w:t>
      </w:r>
    </w:p>
    <w:p>
      <w:r>
        <w:t>i) Autorité de contrôle des nuisances sonores aéroportuaires;</w:t>
      </w:r>
    </w:p>
    <w:p>
      <w:r>
        <w:t>j) Autorité de régulation des communications électroniques et des postes;</w:t>
      </w:r>
    </w:p>
    <w:p>
      <w:r>
        <w:t>k) Autorité de sûreté nucléaire;</w:t>
      </w:r>
    </w:p>
    <w:p>
      <w:r>
        <w:t>l) Autorité indépendante des marchés financiers;</w:t>
      </w:r>
    </w:p>
    <w:p>
      <w:r>
        <w:t>(m)Comité national d’évaluation des établissements publics à caractère</w:t>
      </w:r>
    </w:p>
    <w:p>
      <w:r>
        <w:t>scientifique, culturel et professionnel;</w:t>
      </w:r>
    </w:p>
    <w:p>
      <w:r>
        <w:t>n) Commission d’accès aux documents administratifs;</w:t>
      </w:r>
    </w:p>
    <w:p>
      <w:r>
        <w:t>o) Commission consultative du secret de la défense nationale;</w:t>
      </w:r>
    </w:p>
    <w:p>
      <w:r>
        <w:t>p) Commission nationale des comptes de campagne et des financements politiques;</w:t>
      </w:r>
    </w:p>
    <w:p>
      <w:r>
        <w:t>q) Commission nationale de contrôle des interceptions de sécurité;</w:t>
      </w:r>
    </w:p>
    <w:p>
      <w:r>
        <w:t>r) Commission nationale de déontologie de la sécurité;</w:t>
      </w:r>
    </w:p>
    <w:p>
      <w:r>
        <w:t>s) Commission nationale du débat public;</w:t>
      </w:r>
    </w:p>
    <w:p>
      <w:r>
        <w:t>t) Commission nationale de l’informatique et des libertés;</w:t>
      </w:r>
    </w:p>
    <w:p>
      <w:r>
        <w:t>u) Commission des participations et des transferts;</w:t>
      </w:r>
    </w:p>
    <w:p>
      <w:r>
        <w:t>v) Commission de régulation de l’énergie;</w:t>
      </w:r>
    </w:p>
    <w:p>
      <w:r>
        <w:t>(w)Commission de la sécurité des consommateurs;</w:t>
      </w:r>
    </w:p>
    <w:p>
      <w:r>
        <w:t>x) Commission des sondages;</w:t>
      </w:r>
    </w:p>
    <w:p>
      <w:r>
        <w:t>y) Commission de la transparence financière de la vie politique;</w:t>
      </w:r>
    </w:p>
    <w:p>
      <w:r>
        <w:t>z) Conseil de la concurrence;</w:t>
      </w:r>
    </w:p>
    <w:p>
      <w:r>
        <w:t>(aa)Conseil des ventes volontaires de meubles aux enchères publiques;</w:t>
      </w:r>
    </w:p>
    <w:p>
      <w:r>
        <w:t>(bb)Conseil supérieur de l’audiovisuel;</w:t>
      </w:r>
    </w:p>
    <w:p>
      <w:r>
        <w:t>(cc)Défenseur des enfants;</w:t>
      </w:r>
    </w:p>
    <w:p>
      <w:r>
        <w:t>(dd)Haute autorité de lutte contre les discriminations et pour l’égalité;</w:t>
      </w:r>
    </w:p>
    <w:p>
      <w:r>
        <w:t>(ee)Haute autorité de santé;</w:t>
      </w:r>
    </w:p>
    <w:p>
      <w:r>
        <w:t>(ff)Médiateur de la République;</w:t>
      </w:r>
    </w:p>
    <w:p>
      <w:r>
        <w:t>(gg)Cour de justice de la République;</w:t>
      </w:r>
    </w:p>
    <w:p>
      <w:r>
        <w:t>(hh)Tribunal des Conflits;</w:t>
      </w:r>
    </w:p>
    <w:p>
      <w:r>
        <w:t>ii) Conseil d’Etat;</w:t>
      </w:r>
    </w:p>
    <w:p>
      <w:r>
        <w:t>(jj) Cours administratives d’appel;</w:t>
      </w:r>
    </w:p>
    <w:p>
      <w:r>
        <w:t>(kk)Tribunaux administratifs;</w:t>
      </w:r>
    </w:p>
    <w:p>
      <w:r>
        <w:t>(ll) Cour des Comptes;</w:t>
      </w:r>
    </w:p>
    <w:p>
      <w:r>
        <w:t>(mm)Chambres régionales des Comptes;</w:t>
      </w:r>
    </w:p>
    <w:p>
      <w:r>
        <w:t>(nn)Cours et tribunaux de l’ordre judiciaire (Cour de Cassation, Cours</w:t>
      </w:r>
    </w:p>
    <w:p>
      <w:r>
        <w:t>d’Appel, Tribunaux d’instance et Tribunaux de grande instance);</w:t>
      </w:r>
    </w:p>
    <w:p>
      <w:r>
        <w:t>c) National public establishments:</w:t>
      </w:r>
    </w:p>
    <w:p>
      <w:r>
        <w:t>a) Académie de France à Rome;</w:t>
      </w:r>
    </w:p>
    <w:p>
      <w:r>
        <w:t>b) Académie de marine;</w:t>
      </w:r>
    </w:p>
    <w:p>
      <w:r>
        <w:t>c) Académie des sciences d’outre-mer;</w:t>
      </w:r>
    </w:p>
    <w:p>
      <w:r>
        <w:t>d) Académie des technologies;</w:t>
      </w:r>
    </w:p>
    <w:p>
      <w:r>
        <w:t>e) Agence centrale des organismes de sécurité sociale (ACOSS);</w:t>
      </w:r>
    </w:p>
    <w:p>
      <w:r>
        <w:t>f) Agence de biomédicine;</w:t>
      </w:r>
    </w:p>
    <w:p>
      <w:r>
        <w:t>g) Agence pour l’enseignement du français à l’étranger;</w:t>
      </w:r>
    </w:p>
    <w:p>
      <w:r>
        <w:t>h) Agence française de sécurité sanitaire des aliments;</w:t>
      </w:r>
    </w:p>
    <w:p>
      <w:r>
        <w:t>i) Agence française de sécurité sanitaire de l’environnement et du travail;</w:t>
      </w:r>
    </w:p>
    <w:p>
      <w:r>
        <w:t>j) Agence Nationale pour la cohésion sociale et l’égalité des chances;</w:t>
      </w:r>
    </w:p>
    <w:p>
      <w:r>
        <w:t>k) Agence nationale pour la garantie des droits des mineurs;</w:t>
      </w:r>
    </w:p>
    <w:p>
      <w:r>
        <w:t>l) Agences de l’eau;</w:t>
      </w:r>
    </w:p>
    <w:p>
      <w:r>
        <w:t>(m)Agence Nationale de l’Accueil des Etrangers et des migrations;</w:t>
      </w:r>
    </w:p>
    <w:p>
      <w:r>
        <w:t>n) Agence nationale pour l’amélioration des conditions de travail (ANACT);</w:t>
      </w:r>
    </w:p>
    <w:p>
      <w:r>
        <w:t>o) Agence nationale pour l’amélioration de l’habitat (ANAH);</w:t>
      </w:r>
    </w:p>
    <w:p>
      <w:r>
        <w:t>p) Agence Nationale pour la Cohésion Sociale et l’Egalité des Chances;</w:t>
      </w:r>
    </w:p>
    <w:p>
      <w:r>
        <w:t>q) Agence nationale pour l’indemnisation des français d’outre-mer (ANIFOM);</w:t>
      </w:r>
    </w:p>
    <w:p>
      <w:r>
        <w:t>r) Assemblée permanente des chambres d’agriculture (APCA);</w:t>
      </w:r>
    </w:p>
    <w:p>
      <w:r>
        <w:t>s) Bibliothèque publique d’information;</w:t>
      </w:r>
    </w:p>
    <w:p>
      <w:r>
        <w:t>t) Bibliothèque nationale de France;</w:t>
      </w:r>
    </w:p>
    <w:p>
      <w:r>
        <w:t>u) Bibliothèque nationale et universitaire de Strasbourg;</w:t>
      </w:r>
    </w:p>
    <w:p>
      <w:r>
        <w:t>v) Caisse des Dépôts et Consignations;</w:t>
      </w:r>
    </w:p>
    <w:p>
      <w:r>
        <w:t>(w)Caisse nationale des autoroutes (CNA);</w:t>
      </w:r>
    </w:p>
    <w:p>
      <w:r>
        <w:t>x) Caisse nationale militaire de sécurité sociale (CNMSS);</w:t>
      </w:r>
    </w:p>
    <w:p>
      <w:r>
        <w:t>y) Caisse de garantie du logement locatif social;</w:t>
      </w:r>
    </w:p>
    <w:p>
      <w:r>
        <w:t>z) Casa de Velasquez;</w:t>
      </w:r>
    </w:p>
    <w:p>
      <w:r>
        <w:t>(aa)Centre d’enseignement zootechnique;</w:t>
      </w:r>
    </w:p>
    <w:p>
      <w:r>
        <w:t>(bb)Centre d’études de l’emploi;</w:t>
      </w:r>
    </w:p>
    <w:p>
      <w:r>
        <w:t>(cc)Centre d’études supérieures de la sécurité sociale;</w:t>
      </w:r>
    </w:p>
    <w:p>
      <w:r>
        <w:t>(dd)Centres de formation professionnelle et de promotion agricole;</w:t>
      </w:r>
    </w:p>
    <w:p>
      <w:r>
        <w:t>(ee)Centre hospitalier des Quinze-Vingts;</w:t>
      </w:r>
    </w:p>
    <w:p>
      <w:r>
        <w:t>(ff)Centre international d’études supérieures en sciences agronomiques</w:t>
      </w:r>
    </w:p>
    <w:p>
      <w:r>
        <w:t>(Montpellier Sup Agro);</w:t>
      </w:r>
    </w:p>
    <w:p>
      <w:r>
        <w:t>(gg)Centre des liaisons européennes et internationales de sécurité sociale;</w:t>
      </w:r>
    </w:p>
    <w:p>
      <w:r>
        <w:t>(hh)Centre des Monuments Nationaux;</w:t>
      </w:r>
    </w:p>
    <w:p>
      <w:r>
        <w:t>ii) Centre national d’art et de culture Georges Pompidou;</w:t>
      </w:r>
    </w:p>
    <w:p>
      <w:r>
        <w:t>(jj) Centre national des arts plastiques;</w:t>
      </w:r>
    </w:p>
    <w:p>
      <w:r>
        <w:t>(kk)Centre national de la cinématographie;</w:t>
      </w:r>
    </w:p>
    <w:p>
      <w:r>
        <w:t>(ll) Centre National d’Etudes et d’expérimentation du machinisme agricole, du génie rural, des eaux et des forêts (CEMAGREF);</w:t>
      </w:r>
    </w:p>
    <w:p>
      <w:r>
        <w:t>(mm)Centre national du livre;</w:t>
      </w:r>
    </w:p>
    <w:p>
      <w:r>
        <w:t>(nn)Centre national de documentation pédagogique;</w:t>
      </w:r>
    </w:p>
    <w:p>
      <w:r>
        <w:t>(oo)Centre national des œuvres universitaires et scolaires (CNOUS);</w:t>
      </w:r>
    </w:p>
    <w:p>
      <w:r>
        <w:t>(pp)Centre national professionnel de la propriété forestière;</w:t>
      </w:r>
    </w:p>
    <w:p>
      <w:r>
        <w:t>(qq)Centre National de la Recherche Scientifique (C.N.R.S);</w:t>
      </w:r>
    </w:p>
    <w:p>
      <w:r>
        <w:t>(rr)Centres d’éducation populaire et de sport (CREPS);</w:t>
      </w:r>
    </w:p>
    <w:p>
      <w:r>
        <w:t>(ss)Centres régionaux des œuvres universitaires (CROUS);</w:t>
      </w:r>
    </w:p>
    <w:p>
      <w:r>
        <w:t>(tt) Collège de France;</w:t>
      </w:r>
    </w:p>
    <w:p>
      <w:r>
        <w:t>(uu)Conservatoire de l’espace littoral et des rivages lacustres;</w:t>
      </w:r>
    </w:p>
    <w:p>
      <w:r>
        <w:t>(vv)Conservatoire National des Arts et Métiers;</w:t>
      </w:r>
    </w:p>
    <w:p>
      <w:r>
        <w:t>(ww)Conservatoire national supérieur de musique et de danse de Paris;</w:t>
      </w:r>
    </w:p>
    <w:p>
      <w:r>
        <w:t>(xx)Conservatoire national supérieur de musique et de danse de Lyon;</w:t>
      </w:r>
    </w:p>
    <w:p>
      <w:r>
        <w:t>(yy)Conservatoire national supérieur d’art dramatique;</w:t>
      </w:r>
    </w:p>
    <w:p>
      <w:r>
        <w:t>(zz)Ecole centrale de Lille;</w:t>
      </w:r>
    </w:p>
    <w:p>
      <w:r>
        <w:t>(aaa)Ecole centrale de Lyon;</w:t>
      </w:r>
    </w:p>
    <w:p>
      <w:r>
        <w:t>(bbb)École centrale des arts et manufactures;</w:t>
      </w:r>
    </w:p>
    <w:p>
      <w:r>
        <w:t>(ccc)École française d’archéologie d’Athènes;</w:t>
      </w:r>
    </w:p>
    <w:p>
      <w:r>
        <w:t>(ddd)École française d’Extrême-Orient;</w:t>
      </w:r>
    </w:p>
    <w:p>
      <w:r>
        <w:t>(eee)École française de Rome;</w:t>
      </w:r>
    </w:p>
    <w:p>
      <w:r>
        <w:t>(fff)École des hautes études en sciences sociales;</w:t>
      </w:r>
    </w:p>
    <w:p>
      <w:r>
        <w:t>(ggg)Ecole du Louvre;</w:t>
      </w:r>
    </w:p>
    <w:p>
      <w:r>
        <w:t>(hhh)École nationale d’administration;</w:t>
      </w:r>
    </w:p>
    <w:p>
      <w:r>
        <w:t>(iii)École nationale de l’aviation civile (ENAC);</w:t>
      </w:r>
    </w:p>
    <w:p>
      <w:r>
        <w:t>(jjj)École nationale des Chartes;</w:t>
      </w:r>
    </w:p>
    <w:p>
      <w:r>
        <w:t>(kkk)École nationale d’équitation;</w:t>
      </w:r>
    </w:p>
    <w:p>
      <w:r>
        <w:t>(lll)Ecole Nationale du Génie de l’Eau et de l’environnement de Strasbourg;</w:t>
      </w:r>
    </w:p>
    <w:p>
      <w:r>
        <w:t>(mmm)Écoles nationales d’ingénieurs;</w:t>
      </w:r>
    </w:p>
    <w:p>
      <w:r>
        <w:t>(nnn)Ecole nationale d’ingénieurs des industries des techniques agricoles et</w:t>
      </w:r>
    </w:p>
    <w:p>
      <w:r>
        <w:t>alimentaires de Nantes;</w:t>
      </w:r>
    </w:p>
    <w:p>
      <w:r>
        <w:t>(ooo)Écoles nationales d’ingénieurs des travaux agricoles;</w:t>
      </w:r>
    </w:p>
    <w:p>
      <w:r>
        <w:t>(ppp)École nationale de la magistrature;</w:t>
      </w:r>
    </w:p>
    <w:p>
      <w:r>
        <w:t>(qqq)Écoles nationales de la marine marchande;</w:t>
      </w:r>
    </w:p>
    <w:p>
      <w:r>
        <w:t>(rrr)École nationale de la santé publique (ENSP);</w:t>
      </w:r>
    </w:p>
    <w:p>
      <w:r>
        <w:t>(sss)École nationale de ski et d’alpinisme;</w:t>
      </w:r>
    </w:p>
    <w:p>
      <w:r>
        <w:t>(ttt)École nationale supérieure des arts décoratifs;</w:t>
      </w:r>
    </w:p>
    <w:p>
      <w:r>
        <w:t>(uuu)École nationale supérieure des arts et techniques du théâtre;</w:t>
      </w:r>
    </w:p>
    <w:p>
      <w:r>
        <w:t>(vvv)École nationale supérieure des arts et industries textiles Roubaix;</w:t>
      </w:r>
    </w:p>
    <w:p>
      <w:r>
        <w:t>(www)Écoles nationales supérieures d’arts et métiers;</w:t>
      </w:r>
    </w:p>
    <w:p>
      <w:r>
        <w:t>(xxx)École nationale supérieure des beaux-arts;</w:t>
      </w:r>
    </w:p>
    <w:p>
      <w:r>
        <w:t>(yyy)École nationale supérieure de céramique industrielle;</w:t>
      </w:r>
    </w:p>
    <w:p>
      <w:r>
        <w:t>(zzz)École nationale supérieure de l’électronique et de ses applications</w:t>
      </w:r>
    </w:p>
    <w:p>
      <w:r>
        <w:t>(ENSEA);</w:t>
      </w:r>
    </w:p>
    <w:p>
      <w:r>
        <w:t>(aaaa)Ecole nationale supérieure du paysage de Versailles;</w:t>
      </w:r>
    </w:p>
    <w:p>
      <w:r>
        <w:t>(bbbb)Ecole Nationale Supérieure des Sciences de l’information et des</w:t>
      </w:r>
    </w:p>
    <w:p>
      <w:r>
        <w:t>bibliothécaires;</w:t>
      </w:r>
    </w:p>
    <w:p>
      <w:r>
        <w:t>(cccc)Ecole nationale supérieure de la sécurité sociale;</w:t>
      </w:r>
    </w:p>
    <w:p>
      <w:r>
        <w:t>(dddd)Écoles nationales vétérinaires;</w:t>
      </w:r>
    </w:p>
    <w:p>
      <w:r>
        <w:t>(eeee)École nationale de voile;</w:t>
      </w:r>
    </w:p>
    <w:p>
      <w:r>
        <w:t>(ffff)Écoles normales supérieures;</w:t>
      </w:r>
    </w:p>
    <w:p>
      <w:r>
        <w:t>(gggg)École polytechnique;</w:t>
      </w:r>
    </w:p>
    <w:p>
      <w:r>
        <w:t>(hhhh)École technique professionnelle agricole et forestière de Meymac</w:t>
      </w:r>
    </w:p>
    <w:p>
      <w:r>
        <w:t>(Corrèze);</w:t>
      </w:r>
    </w:p>
    <w:p>
      <w:r>
        <w:t>(iiii)École de sylviculture Crogny (Aube);</w:t>
      </w:r>
    </w:p>
    <w:p>
      <w:r>
        <w:t>(jjjj)École de viticulture et d’œnologie de la Tour- Blanche (Gironde);</w:t>
      </w:r>
    </w:p>
    <w:p>
      <w:r>
        <w:t>(kkkk)École de viticulture — Avize (Marne);</w:t>
      </w:r>
    </w:p>
    <w:p>
      <w:r>
        <w:t>(llll)Etablissement national d’enseignement agronomique de Dijon;</w:t>
      </w:r>
    </w:p>
    <w:p>
      <w:r>
        <w:t>(mmmm) Établissement national des invalides de la marine (ENIM);</w:t>
      </w:r>
    </w:p>
    <w:p>
      <w:r>
        <w:t>(nnnn)Établissement national de bienfaisance Koenigswarter;</w:t>
      </w:r>
    </w:p>
    <w:p>
      <w:r>
        <w:t>(oooo)Établissement public du musée et du domaine national de Versailles;</w:t>
      </w:r>
    </w:p>
    <w:p>
      <w:r>
        <w:t>(pppp)Fondation Carnegie;</w:t>
      </w:r>
    </w:p>
    <w:p>
      <w:r>
        <w:t>(qqqq)Fondation Singer-Polignac;</w:t>
      </w:r>
    </w:p>
    <w:p>
      <w:r>
        <w:t>(rrrr)Haras nationaux;</w:t>
      </w:r>
    </w:p>
    <w:p>
      <w:r>
        <w:t>(ssss)Hôpital national de Saint-Maurice;</w:t>
      </w:r>
    </w:p>
    <w:p>
      <w:r>
        <w:t>(tttt)Institut des hautes études pour la science et la technologie;</w:t>
      </w:r>
    </w:p>
    <w:p>
      <w:r>
        <w:t>(uuuu)Institut français d’archéologie orientale du Caire;</w:t>
      </w:r>
    </w:p>
    <w:p>
      <w:r>
        <w:t>(vvvv)Institut géographique national;</w:t>
      </w:r>
    </w:p>
    <w:p>
      <w:r>
        <w:t>(wwww) Institut National de l’origine et de la qualité;</w:t>
      </w:r>
    </w:p>
    <w:p>
      <w:r>
        <w:t>(xxxx)Institut national des hautes études de sécurité;</w:t>
      </w:r>
    </w:p>
    <w:p>
      <w:r>
        <w:t>(yyyy)Institut de veille sanitaire;</w:t>
      </w:r>
    </w:p>
    <w:p>
      <w:r>
        <w:t>(zzzz)Institut National d’enseignement supérieur et de recherche</w:t>
      </w:r>
    </w:p>
    <w:p>
      <w:r>
        <w:t>agronomique et agroalimentaire de Rennes;</w:t>
      </w:r>
    </w:p>
    <w:p>
      <w:r>
        <w:t>(aaaaa)Institut National d’Etudes Démographiques (I.N.E.D);</w:t>
      </w:r>
    </w:p>
    <w:p>
      <w:r>
        <w:t>(bbbbb) Institut National d’Horticulture;</w:t>
      </w:r>
    </w:p>
    <w:p>
      <w:r>
        <w:t>(ccccc)Institut National de la jeunesse et de l’éducation populaire;</w:t>
      </w:r>
    </w:p>
    <w:p>
      <w:r>
        <w:t>(ddddd) Institut national des jeunes aveugles — Paris;</w:t>
      </w:r>
    </w:p>
    <w:p>
      <w:r>
        <w:t>(eeeee)Institut national des jeunes sourds — Bordeaux;</w:t>
      </w:r>
    </w:p>
    <w:p>
      <w:r>
        <w:t>(fffff)Institut national des jeunes sourds — Chambéry;</w:t>
      </w:r>
    </w:p>
    <w:p>
      <w:r>
        <w:t>(ggggg) Institut national des jeunes sourds — Metz;</w:t>
      </w:r>
    </w:p>
    <w:p>
      <w:r>
        <w:t>(hhhhh) Institut national des jeunes sourds — Paris;</w:t>
      </w:r>
    </w:p>
    <w:p>
      <w:r>
        <w:t>(iiiii)Institut national de physique nucléaire et de physique des particules</w:t>
      </w:r>
    </w:p>
    <w:p>
      <w:r>
        <w:t>(I.N.P.N.P.P);</w:t>
      </w:r>
    </w:p>
    <w:p>
      <w:r>
        <w:t>(jjjjj)Institut national de la propriété industrielle;</w:t>
      </w:r>
    </w:p>
    <w:p>
      <w:r>
        <w:t>(kkkkk) Institut National de la Recherche Agronomique (I.N.R.A);</w:t>
      </w:r>
    </w:p>
    <w:p>
      <w:r>
        <w:t>(lllll)Institut National de la Recherche Pédagogique (I.N.R.P);</w:t>
      </w:r>
    </w:p>
    <w:p>
      <w:r>
        <w:t>(mmmmm) Institut National de la Santé et de la Recherche Médicale</w:t>
      </w:r>
    </w:p>
    <w:p>
      <w:r>
        <w:t>(I.N.S.E.R.M);</w:t>
      </w:r>
    </w:p>
    <w:p>
      <w:r>
        <w:t>(nnnnn) Institut national d’histoire de l’art (I.N.H.A.);</w:t>
      </w:r>
    </w:p>
    <w:p>
      <w:r>
        <w:t>(ooooo) Institut national de recherches archéologiques préventives;</w:t>
      </w:r>
    </w:p>
    <w:p>
      <w:r>
        <w:t>(ppppp) Institut National des Sciences de l’Univers;</w:t>
      </w:r>
    </w:p>
    <w:p>
      <w:r>
        <w:t>(qqqqq) Institut National des Sports et de l’Education Physique;</w:t>
      </w:r>
    </w:p>
    <w:p>
      <w:r>
        <w:t>(rrrrr)Institut national supérieur de formation et de recherche pour l’éducation</w:t>
      </w:r>
    </w:p>
    <w:p>
      <w:r>
        <w:t>des jeunes handicapés et les enseignements inadaptés;</w:t>
      </w:r>
    </w:p>
    <w:p>
      <w:r>
        <w:t>(sssss)Instituts nationaux polytechniques;</w:t>
      </w:r>
    </w:p>
    <w:p>
      <w:r>
        <w:t>(ttttt)Instituts nationaux des sciences appliquées;</w:t>
      </w:r>
    </w:p>
    <w:p>
      <w:r>
        <w:t>(uuuuu) Institut national de recherche en informatique et en automatique</w:t>
      </w:r>
    </w:p>
    <w:p>
      <w:r>
        <w:t>(INRIA);</w:t>
      </w:r>
    </w:p>
    <w:p>
      <w:r>
        <w:t>(vvvvv) Institut national de recherche sur les transports et leur sécurité</w:t>
      </w:r>
    </w:p>
    <w:p>
      <w:r>
        <w:t>(INRETS);</w:t>
      </w:r>
    </w:p>
    <w:p>
      <w:r>
        <w:t>(wwwww) Institut de Recherche pour le Développement;</w:t>
      </w:r>
    </w:p>
    <w:p>
      <w:r>
        <w:t>(xxxxx) Instituts régionaux d’administration;</w:t>
      </w:r>
    </w:p>
    <w:p>
      <w:r>
        <w:t>(yyyyy) Institut des Sciences et des Industries du vivant et de</w:t>
      </w:r>
    </w:p>
    <w:p>
      <w:r>
        <w:t>l’environnement (Agro Paris Tech);</w:t>
      </w:r>
    </w:p>
    <w:p>
      <w:r>
        <w:t>(zzzzz)Institut supérieur de mécanique de Paris;</w:t>
      </w:r>
    </w:p>
    <w:p>
      <w:r>
        <w:t>(aaaaaa) Institut Universitaires de Formation des Maîtres;</w:t>
      </w:r>
    </w:p>
    <w:p>
      <w:r>
        <w:t>(bbbbbb) Musée de l’armée;</w:t>
      </w:r>
    </w:p>
    <w:p>
      <w:r>
        <w:t>(cccccc) Musée Gustave-Moreau;</w:t>
      </w:r>
    </w:p>
    <w:p>
      <w:r>
        <w:t>(dddddd) Musée national de la marine;</w:t>
      </w:r>
    </w:p>
    <w:p>
      <w:r>
        <w:t>(eeeeee) Musée national J.-J.-Henner;</w:t>
      </w:r>
    </w:p>
    <w:p>
      <w:r>
        <w:t>(ffffff)Musée du Louvre;</w:t>
      </w:r>
    </w:p>
    <w:p>
      <w:r>
        <w:t>(gggggg) Musée du Quai Branly;</w:t>
      </w:r>
    </w:p>
    <w:p>
      <w:r>
        <w:t>(hhhhhh) Muséum National d’Histoire Naturelle;</w:t>
      </w:r>
    </w:p>
    <w:p>
      <w:r>
        <w:t>(iiiiii)Musée Auguste-Rodin;</w:t>
      </w:r>
    </w:p>
    <w:p>
      <w:r>
        <w:t>(jjjjjj)Observatoire de Paris;</w:t>
      </w:r>
    </w:p>
    <w:p>
      <w:r>
        <w:t>(kkkkkk) Office français de protection des réfugiés et apatrides;</w:t>
      </w:r>
    </w:p>
    <w:p>
      <w:r>
        <w:t>(llllll)Office National des Anciens Combattants et des Victimes de Guerre</w:t>
      </w:r>
    </w:p>
    <w:p>
      <w:r>
        <w:t>(ONAC);</w:t>
      </w:r>
    </w:p>
    <w:p>
      <w:r>
        <w:t>(mmmmmm)Office national de la chasse et de la faune sauvage;</w:t>
      </w:r>
    </w:p>
    <w:p>
      <w:r>
        <w:t>(nnnnnn) Office National de l’eau et des milieux aquatiques;</w:t>
      </w:r>
    </w:p>
    <w:p>
      <w:r>
        <w:t>(oooooo) Office national d’information sur les enseignements et les</w:t>
      </w:r>
    </w:p>
    <w:p>
      <w:r>
        <w:t>professions (ONISEP);</w:t>
      </w:r>
    </w:p>
    <w:p>
      <w:r>
        <w:t>(pppppp) Office universitaire et culturel français pour l’Algérie;</w:t>
      </w:r>
    </w:p>
    <w:p>
      <w:r>
        <w:t>(qqqqqq) Ordre national de la Légion d’honneur;</w:t>
      </w:r>
    </w:p>
    <w:p>
      <w:r>
        <w:t>(rrrrrr)Palais de la découverte;</w:t>
      </w:r>
    </w:p>
    <w:p>
      <w:r>
        <w:t>(ssssss)Parcs nationaux;</w:t>
      </w:r>
    </w:p>
    <w:p>
      <w:r>
        <w:t>(tttttt)Universités;</w:t>
      </w:r>
    </w:p>
    <w:p>
      <w:r>
        <w:t>d) Other national public bodies:</w:t>
      </w:r>
    </w:p>
    <w:p>
      <w:r>
        <w:t>a) Union des groupements d’achats publics (UGAP);</w:t>
      </w:r>
    </w:p>
    <w:p>
      <w:r>
        <w:t>b) Agence Nationale pour l’emploi (A.N.P.E);</w:t>
      </w:r>
    </w:p>
    <w:p>
      <w:r>
        <w:t>c) Caisse Nationale des Allocations Familiales (CNAF);</w:t>
      </w:r>
    </w:p>
    <w:p>
      <w:r>
        <w:t>d) Caisse Nationale d’Assurance Maladie des Travailleurs Salariés (CNAMS);</w:t>
      </w:r>
    </w:p>
    <w:p>
      <w:r>
        <w:t>e) Caisse Nationale d’Assurance-Vieillesse des Travailleurs Salariés (CNAVTS).</w:t>
      </w:r>
    </w:p>
    <w:p>
      <w:r>
        <w:t>(11) CROATIA</w:t>
      </w:r>
    </w:p>
    <w:p>
      <w:r>
        <w:t>a) Hrvatski sabor;</w:t>
      </w:r>
    </w:p>
    <w:p>
      <w:r>
        <w:t>b) Predsjednik Republike Hrvatske;</w:t>
      </w:r>
    </w:p>
    <w:p>
      <w:r>
        <w:t>c) Ured predsjednika Republike Hrvatske;</w:t>
      </w:r>
    </w:p>
    <w:p>
      <w:r>
        <w:t>d) Ured predsjednika Republike Hrvatske po prestanku obnašanja dužnosti;</w:t>
      </w:r>
    </w:p>
    <w:p>
      <w:r>
        <w:t>e) Vlada Republike Hrvatske;</w:t>
      </w:r>
    </w:p>
    <w:p>
      <w:r>
        <w:t>f) uredi Vlade Republike Hrvatske;</w:t>
      </w:r>
    </w:p>
    <w:p>
      <w:r>
        <w:t>g) Ministarstvo gospodarstva;</w:t>
      </w:r>
    </w:p>
    <w:p>
      <w:r>
        <w:t>h) Ministarstvo regionalnog razvoja i fondova Europske unije;</w:t>
      </w:r>
    </w:p>
    <w:p>
      <w:r>
        <w:t>i) Ministarstvo financija;</w:t>
      </w:r>
    </w:p>
    <w:p>
      <w:r>
        <w:t>j) Ministarstvo obrane;</w:t>
      </w:r>
    </w:p>
    <w:p>
      <w:r>
        <w:t>k) Ministarstvo vanjskih i europskih poslova;</w:t>
      </w:r>
    </w:p>
    <w:p>
      <w:r>
        <w:t>l) Ministarstvo unutarnjih poslova;</w:t>
      </w:r>
    </w:p>
    <w:p>
      <w:r>
        <w:t>(m)Ministarstvo pravosuđa;</w:t>
      </w:r>
    </w:p>
    <w:p>
      <w:r>
        <w:t>n) Ministarstvo uprave;</w:t>
      </w:r>
    </w:p>
    <w:p>
      <w:r>
        <w:t>o) Ministarstvo poduzetništva i obrta;</w:t>
      </w:r>
    </w:p>
    <w:p>
      <w:r>
        <w:t>p) Ministarstvo rada i mirovinskog sustava;</w:t>
      </w:r>
    </w:p>
    <w:p>
      <w:r>
        <w:t>q) Ministarstvo pomorstva, prometa i infrastrukture;</w:t>
      </w:r>
    </w:p>
    <w:p>
      <w:r>
        <w:t>r) Ministarstvo poljoprivrede;</w:t>
      </w:r>
    </w:p>
    <w:p>
      <w:r>
        <w:t>s) Ministarstvo turizma;</w:t>
      </w:r>
    </w:p>
    <w:p>
      <w:r>
        <w:t>t) Ministarstvo zaštite okoliša i prirode;</w:t>
      </w:r>
    </w:p>
    <w:p>
      <w:r>
        <w:t>u) Ministarstvo graditeljstva i prostornog uređenja;</w:t>
      </w:r>
    </w:p>
    <w:p>
      <w:r>
        <w:t>v) Ministarstvo branitelja;</w:t>
      </w:r>
    </w:p>
    <w:p>
      <w:r>
        <w:t>(w)Ministarstvo socijalne politike i mladih;</w:t>
      </w:r>
    </w:p>
    <w:p>
      <w:r>
        <w:t>x) Ministarstvo zdravlja;</w:t>
      </w:r>
    </w:p>
    <w:p>
      <w:r>
        <w:t>y) Ministarstvo znanosti, obrazovanja i sporta;</w:t>
      </w:r>
    </w:p>
    <w:p>
      <w:r>
        <w:t>z) Ministarstvo kulture;</w:t>
      </w:r>
    </w:p>
    <w:p>
      <w:r>
        <w:t>a) državne upravne organizacije;</w:t>
      </w:r>
    </w:p>
    <w:p>
      <w:r>
        <w:t>b) uredi državne uprave u županijama;</w:t>
      </w:r>
    </w:p>
    <w:p>
      <w:r>
        <w:t>c) Ustavni sud Republike Hrvatske;</w:t>
      </w:r>
    </w:p>
    <w:p>
      <w:r>
        <w:t>d) Vrhovni sud Republike Hrvatske;</w:t>
      </w:r>
    </w:p>
    <w:p>
      <w:r>
        <w:t>e) sudovi;</w:t>
      </w:r>
    </w:p>
    <w:p>
      <w:r>
        <w:t>f) Državno sudbeno vijeće;</w:t>
      </w:r>
    </w:p>
    <w:p>
      <w:r>
        <w:t>g) državna odvjetništva;</w:t>
      </w:r>
    </w:p>
    <w:p>
      <w:r>
        <w:t>h) Državnoodvjetničko vijeće;</w:t>
      </w:r>
    </w:p>
    <w:p>
      <w:r>
        <w:t>i) pravobraniteljstva;</w:t>
      </w:r>
    </w:p>
    <w:p>
      <w:r>
        <w:t>j) Državna komisija za kontrolu postupaka javne nabave;</w:t>
      </w:r>
    </w:p>
    <w:p>
      <w:r>
        <w:t>k) Hrvatska narodna banka;</w:t>
      </w:r>
    </w:p>
    <w:p>
      <w:r>
        <w:t>l) državne agencije i uredi;</w:t>
      </w:r>
    </w:p>
    <w:p>
      <w:r>
        <w:t>(m)Državni ured za reviziju.</w:t>
      </w:r>
    </w:p>
    <w:p>
      <w:r>
        <w:t>(12) ITALY</w:t>
      </w:r>
    </w:p>
    <w:p>
      <w:r>
        <w:t>a) Purchasing bodies:</w:t>
      </w:r>
    </w:p>
    <w:p>
      <w:r>
        <w:t>a) Presidenza del Consiglio dei Ministri;</w:t>
      </w:r>
    </w:p>
    <w:p>
      <w:r>
        <w:t>b) Ministero degli Affari Esteri;</w:t>
      </w:r>
    </w:p>
    <w:p>
      <w:r>
        <w:t>c) Ministero dell’Interno;</w:t>
      </w:r>
    </w:p>
    <w:p>
      <w:r>
        <w:t>d) Ministero della Giustizia e Uffici giudiziari (esclusi i giudici di pace);</w:t>
      </w:r>
    </w:p>
    <w:p>
      <w:r>
        <w:t>e) Ministero della Difesa;</w:t>
      </w:r>
    </w:p>
    <w:p>
      <w:r>
        <w:t>f) Ministero dell’Economia e delle Finanze;</w:t>
      </w:r>
    </w:p>
    <w:p>
      <w:r>
        <w:t>g) Ministero dello Sviluppo Economico;</w:t>
      </w:r>
    </w:p>
    <w:p>
      <w:r>
        <w:t>h) Ministero delle Politiche Agricole, Alimentari e Forestali;</w:t>
      </w:r>
    </w:p>
    <w:p>
      <w:r>
        <w:t>i) Ministero dell’Ambiente, Tutela del Territorio e del Mare;</w:t>
      </w:r>
    </w:p>
    <w:p>
      <w:r>
        <w:t>j) Ministero delle Infrastrutture e dei Trasporti;</w:t>
      </w:r>
    </w:p>
    <w:p>
      <w:r>
        <w:t>k) Ministero del Lavoro, della Salute e delle Politiche Sociali;</w:t>
      </w:r>
    </w:p>
    <w:p>
      <w:r>
        <w:t>l) Ministero dell’Istruzione, Università e Ricerca;</w:t>
      </w:r>
    </w:p>
    <w:p>
      <w:r>
        <w:t>(m)Ministero per i Beni e le Attività culturali, comprensivo delle sue</w:t>
      </w:r>
    </w:p>
    <w:p>
      <w:r>
        <w:t>articolazioni periferiche;</w:t>
      </w:r>
    </w:p>
    <w:p>
      <w:r>
        <w:t>b) Other national public bodies:</w:t>
      </w:r>
    </w:p>
    <w:p>
      <w:r>
        <w:t>a) CONSIP (Concessionaria Servizi Informatici Pubblici) .</w:t>
      </w:r>
    </w:p>
    <w:p>
      <w:r>
        <w:t>(13) CYPRUS</w:t>
      </w:r>
    </w:p>
    <w:p>
      <w:r>
        <w:t>a) Προεδρία και Προεδρικό Μέγαρο:</w:t>
      </w:r>
    </w:p>
    <w:p>
      <w:r>
        <w:t>b) Γραφείο Συντονιστή Εναρμόνισης;</w:t>
      </w:r>
    </w:p>
    <w:p>
      <w:r>
        <w:t>c) Υπουργικό Συμβούλιο;</w:t>
      </w:r>
    </w:p>
    <w:p>
      <w:r>
        <w:t>d) Βουλή των Αντιπροσώπων;</w:t>
      </w:r>
    </w:p>
    <w:p>
      <w:r>
        <w:t>e) Δικαστική Υπηρεσία;</w:t>
      </w:r>
    </w:p>
    <w:p>
      <w:r>
        <w:t>f) Νομική Υπηρεσία της Δημοκρατίας;</w:t>
      </w:r>
    </w:p>
    <w:p>
      <w:r>
        <w:t>g) Ελεγκτική Υπηρεσία της Δημοκρατίας;</w:t>
      </w:r>
    </w:p>
    <w:p>
      <w:r>
        <w:t>h) Επιτροπή Δημόσιας Υπηρεσίας;</w:t>
      </w:r>
    </w:p>
    <w:p>
      <w:r>
        <w:t>i) Επιτροπή Εκπαιδευτικής Υπηρεσίας;</w:t>
      </w:r>
    </w:p>
    <w:p>
      <w:r>
        <w:t>j) Γραφείο Επιτρόπου Διοικήσεως;</w:t>
      </w:r>
    </w:p>
    <w:p>
      <w:r>
        <w:t>k) Επιτροπή Προστασίας Ανταγωνισμού;</w:t>
      </w:r>
    </w:p>
    <w:p>
      <w:r>
        <w:t>l) Υπηρεσία Εσωτερικού Ελέγχου;</w:t>
      </w:r>
    </w:p>
    <w:p>
      <w:r>
        <w:t>(m)Γραφείο Προγραμματισμού;</w:t>
      </w:r>
    </w:p>
    <w:p>
      <w:r>
        <w:t>n) Γενικό Λογιστήριο της Δημοκρατίας;</w:t>
      </w:r>
    </w:p>
    <w:p>
      <w:r>
        <w:t>o) Γραφείο Επιτρόπου Προστασίας Δεδομένων Προσωπικού Χαρακτήρα;</w:t>
      </w:r>
    </w:p>
    <w:p>
      <w:r>
        <w:t>p) Γραφείο Εφόρου Δημοσίων Ενισχύσεων;</w:t>
      </w:r>
    </w:p>
    <w:p>
      <w:r>
        <w:t>q) Αναθεωρητική Αρχή Προσφορών;</w:t>
      </w:r>
    </w:p>
    <w:p>
      <w:r>
        <w:t>r) Υπηρεσία Εποπτείας και Ανάπτυξης Συνεργατικών Εταιρειών;</w:t>
      </w:r>
    </w:p>
    <w:p>
      <w:r>
        <w:t>s) Αναθεωρητική Αρχή Προσφύγων;</w:t>
      </w:r>
    </w:p>
    <w:p>
      <w:r>
        <w:t>t) Υπουργείο Άμυνας;</w:t>
      </w:r>
    </w:p>
    <w:p>
      <w:r>
        <w:t>u) Υπουργείο Γεωργίας, Φυσικών Πόρων και Περιβάλλοντος:</w:t>
      </w:r>
    </w:p>
    <w:p>
      <w:r>
        <w:t>a) Τμήμα Γεωργίας;</w:t>
      </w:r>
    </w:p>
    <w:p>
      <w:r>
        <w:t>b) Κτηνιατρικές Υπηρεσίες;</w:t>
      </w:r>
    </w:p>
    <w:p>
      <w:r>
        <w:t>c) Τμήμα Δασών;</w:t>
      </w:r>
    </w:p>
    <w:p>
      <w:r>
        <w:t>d) Τμήμα Αναπτύξεως Υδάτων;</w:t>
      </w:r>
    </w:p>
    <w:p>
      <w:r>
        <w:t>e) Τμήμα Γεωλογικής Επισκόπησης;</w:t>
      </w:r>
    </w:p>
    <w:p>
      <w:r>
        <w:t>f) Μετεωρολογική Υπηρεσία;</w:t>
      </w:r>
    </w:p>
    <w:p>
      <w:r>
        <w:t>g) Τμήμα Αναδασμού;</w:t>
      </w:r>
    </w:p>
    <w:p>
      <w:r>
        <w:t>h) Υπηρεσία Μεταλλείων;</w:t>
      </w:r>
    </w:p>
    <w:p>
      <w:r>
        <w:t>i) Ινστιτούτο Γεωργικών Ερευνών;</w:t>
      </w:r>
    </w:p>
    <w:p>
      <w:r>
        <w:t>j) Τμήμα Αλιείας και Θαλάσσιων Ερευνών;</w:t>
      </w:r>
    </w:p>
    <w:p>
      <w:r>
        <w:t>v) Υπουργείο Δικαιοσύνης και Δημοσίας Τάξεως:</w:t>
      </w:r>
    </w:p>
    <w:p>
      <w:r>
        <w:t>a) Αστυνομία;</w:t>
      </w:r>
    </w:p>
    <w:p>
      <w:r>
        <w:t>b) Πυροσβεστική Υπηρεσία Κύπρου;</w:t>
      </w:r>
    </w:p>
    <w:p>
      <w:r>
        <w:t>c) Τμήμα Φυλακών;</w:t>
      </w:r>
    </w:p>
    <w:p>
      <w:r>
        <w:t>(w)Υπουργείο Εμπορίου, Βιομηχανίας και Τουρισμού:</w:t>
      </w:r>
    </w:p>
    <w:p>
      <w:r>
        <w:t>a) Τμήμα Εφόρου Εταιρειών και Επίσημου Παραλήπτη;</w:t>
      </w:r>
    </w:p>
    <w:p>
      <w:r>
        <w:t>x) Υπουργείο Εργασίας και Κοινωνικών Ασφαλίσεων:</w:t>
      </w:r>
    </w:p>
    <w:p>
      <w:r>
        <w:t>a) Τμήμα Εργασίας;</w:t>
      </w:r>
    </w:p>
    <w:p>
      <w:r>
        <w:t>b) Τμήμα Κοινωνικών Ασφαλίσεων;</w:t>
      </w:r>
    </w:p>
    <w:p>
      <w:r>
        <w:t>c) Τμήμα Υπηρεσιών Κοινωνικής Ευημερίας;</w:t>
      </w:r>
    </w:p>
    <w:p>
      <w:r>
        <w:t>d) Κέντρο Παραγωγικότητας Κύπρου;</w:t>
      </w:r>
    </w:p>
    <w:p>
      <w:r>
        <w:t>e) Ανώτερο Ξενοδοχειακό Ινστιτούτο Κύπρου;</w:t>
      </w:r>
    </w:p>
    <w:p>
      <w:r>
        <w:t>f) Ανώτερο Τεχνολογικό Ινστιτούτο;</w:t>
      </w:r>
    </w:p>
    <w:p>
      <w:r>
        <w:t>g) Τμήμα Επιθεώρησης Εργασίας;</w:t>
      </w:r>
    </w:p>
    <w:p>
      <w:r>
        <w:t>h) Τμήμα Εργασιακών Σχέσεων;</w:t>
      </w:r>
    </w:p>
    <w:p>
      <w:r>
        <w:t>y) Υπουργείο Εσωτερικών:</w:t>
      </w:r>
    </w:p>
    <w:p>
      <w:r>
        <w:t>a) Επαρχιακές Διοικήσεις;</w:t>
      </w:r>
    </w:p>
    <w:p>
      <w:r>
        <w:t>b) Τμήμα Πολεοδομίας και Οικήσεως;</w:t>
      </w:r>
    </w:p>
    <w:p>
      <w:r>
        <w:t>c) Τμήμα Αρχείου Πληθυσμού και Μεταναστεύσεως;</w:t>
      </w:r>
    </w:p>
    <w:p>
      <w:r>
        <w:t>d) Τμήμα Κτηματολογίου και Χωρομετρίας;</w:t>
      </w:r>
    </w:p>
    <w:p>
      <w:r>
        <w:t>e) Γραφείο Τύπου και Πληροφοριών;</w:t>
      </w:r>
    </w:p>
    <w:p>
      <w:r>
        <w:t>f) Πολιτική Άμυνα;</w:t>
      </w:r>
    </w:p>
    <w:p>
      <w:r>
        <w:t>g) Υπηρεσία Μέριμνας και Αποκαταστάσεων Εκτοπισθέντων;</w:t>
      </w:r>
    </w:p>
    <w:p>
      <w:r>
        <w:t>h) Υπηρεσία Ασύλου;</w:t>
      </w:r>
    </w:p>
    <w:p>
      <w:r>
        <w:t>z) Υπουργείο Εξωτερικών;</w:t>
      </w:r>
    </w:p>
    <w:p>
      <w:r>
        <w:t>(aa)Υπουργείο Οικονομικών:</w:t>
      </w:r>
    </w:p>
    <w:p>
      <w:r>
        <w:t>a) Τελωνεία;</w:t>
      </w:r>
    </w:p>
    <w:p>
      <w:r>
        <w:t>b) Τμήμα Εσωτερικών Προσόδων;</w:t>
      </w:r>
    </w:p>
    <w:p>
      <w:r>
        <w:t>c) Στατιστική Υπηρεσία;</w:t>
      </w:r>
    </w:p>
    <w:p>
      <w:r>
        <w:t>d) Τμήμα Κρατικών Αγορών και Προμηθειών;</w:t>
      </w:r>
    </w:p>
    <w:p>
      <w:r>
        <w:t>e) Τμήμα Δημόσιας Διοίκησης και Προσωπικού;</w:t>
      </w:r>
    </w:p>
    <w:p>
      <w:r>
        <w:t>f) Κυβερνητικό Τυπογραφείο;</w:t>
      </w:r>
    </w:p>
    <w:p>
      <w:r>
        <w:t>g) Τμήμα Υπηρεσιών Πληροφορικής;</w:t>
      </w:r>
    </w:p>
    <w:p>
      <w:r>
        <w:t>(bb)Υπουργείο Παιδείας και Πολιτισμού;</w:t>
      </w:r>
    </w:p>
    <w:p>
      <w:r>
        <w:t>(cc)Υπουργείο Συγκοινωνιών και Έργων:</w:t>
      </w:r>
    </w:p>
    <w:p>
      <w:r>
        <w:t>a) Τμήμα Δημοσίων Έργων;</w:t>
      </w:r>
    </w:p>
    <w:p>
      <w:r>
        <w:t>b) Τμήμα Αρχαιοτήτων;</w:t>
      </w:r>
    </w:p>
    <w:p>
      <w:r>
        <w:t>c) Τμήμα Πολιτικής Αεροπορίας;</w:t>
      </w:r>
    </w:p>
    <w:p>
      <w:r>
        <w:t>d) Τμήμα Εμπορικής Ναυτιλίας;</w:t>
      </w:r>
    </w:p>
    <w:p>
      <w:r>
        <w:t>e) Τμήμα Οδικών Μεταφορών;</w:t>
      </w:r>
    </w:p>
    <w:p>
      <w:r>
        <w:t>f) Τμήμα Ηλεκτρομηχανολογικών Υπηρεσιών;</w:t>
      </w:r>
    </w:p>
    <w:p>
      <w:r>
        <w:t>g) Τμήμα Ηλεκτρονικών Επικοινωνιών;</w:t>
      </w:r>
    </w:p>
    <w:p>
      <w:r>
        <w:t>(dd)Υπουργείο Υγείας:</w:t>
      </w:r>
    </w:p>
    <w:p>
      <w:r>
        <w:t>a) Φαρμακευτικές Υπηρεσίες;</w:t>
      </w:r>
    </w:p>
    <w:p>
      <w:r>
        <w:t>b) Γενικό Χημείο;</w:t>
      </w:r>
    </w:p>
    <w:p>
      <w:r>
        <w:t>c) Ιατρικές Υπηρεσίες και Υπηρεσίες Δημόσιας Υγείας;</w:t>
      </w:r>
    </w:p>
    <w:p>
      <w:r>
        <w:t>d) Οδοντιατρικές Υπηρεσίες;</w:t>
      </w:r>
    </w:p>
    <w:p>
      <w:r>
        <w:t>e) Υπηρεσίες Ψυχικής Υγείας.</w:t>
      </w:r>
    </w:p>
    <w:p>
      <w:r>
        <w:t>(14) LATVIA</w:t>
      </w:r>
    </w:p>
    <w:p>
      <w:r>
        <w:t>a) Ministries, secretariats of ministers for special assignments, and their subordinate institutions:</w:t>
      </w:r>
    </w:p>
    <w:p>
      <w:r>
        <w:t>a) Aizsardzības ministrija un tās padotībā esošās iestādes;</w:t>
      </w:r>
    </w:p>
    <w:p>
      <w:r>
        <w:t>b) Ārlietu ministrija un tas padotībā esošās iestādes;</w:t>
      </w:r>
    </w:p>
    <w:p>
      <w:r>
        <w:t>c) Bērnu un ģimenes lietu ministrija un tās padotībā esošas iestādes;</w:t>
      </w:r>
    </w:p>
    <w:p>
      <w:r>
        <w:t>d) Ekonomikas ministrija un tās padotībā esošās iestādes;</w:t>
      </w:r>
    </w:p>
    <w:p>
      <w:r>
        <w:t>e) Finanšu ministrija un tās padotībā esošās iestādes;</w:t>
      </w:r>
    </w:p>
    <w:p>
      <w:r>
        <w:t>f) Iekšlietu ministrija un tās padotībā esošās iestādes;</w:t>
      </w:r>
    </w:p>
    <w:p>
      <w:r>
        <w:t>g) Izglītības un zinātnes ministrija un tās padotībā esošās iestādes;</w:t>
      </w:r>
    </w:p>
    <w:p>
      <w:r>
        <w:t>h) Kultūras ministrija un tas padotībā esošās iestādes;</w:t>
      </w:r>
    </w:p>
    <w:p>
      <w:r>
        <w:t>i) Labklājības ministrija un tās padotībā esošās iestādes;</w:t>
      </w:r>
    </w:p>
    <w:p>
      <w:r>
        <w:t>j) Reģionālās attīstības un pašvaldības lietu ministrija un tās padotībā esošās iestādes;</w:t>
      </w:r>
    </w:p>
    <w:p>
      <w:r>
        <w:t>k) Satiksmes ministrija un tās padotībā esošās iestādes;</w:t>
      </w:r>
    </w:p>
    <w:p>
      <w:r>
        <w:t>l) Tieslietu ministrija un tās padotībā esošās iestādes;</w:t>
      </w:r>
    </w:p>
    <w:p>
      <w:r>
        <w:t>(m)Veselības ministrija un tās padotībā esošās iestādes;</w:t>
      </w:r>
    </w:p>
    <w:p>
      <w:r>
        <w:t>n) Vides ministrija un tās padotībā esošās iestādes;</w:t>
      </w:r>
    </w:p>
    <w:p>
      <w:r>
        <w:t>o) Zemkopības ministrija un tās padotībā esošās iestādes;</w:t>
      </w:r>
    </w:p>
    <w:p>
      <w:r>
        <w:t>p) Īpašu uzdevumu ministra sekretariāti un to padotībā esošās iestādes;</w:t>
      </w:r>
    </w:p>
    <w:p>
      <w:r>
        <w:t>q) Satversmes aizsardzības birojs;</w:t>
      </w:r>
    </w:p>
    <w:p>
      <w:r>
        <w:t>b) Other state institution:</w:t>
      </w:r>
    </w:p>
    <w:p>
      <w:r>
        <w:t>a) Augstākā tiesa;</w:t>
      </w:r>
    </w:p>
    <w:p>
      <w:r>
        <w:t>b) Centrālā vēlēšanu komisija;</w:t>
      </w:r>
    </w:p>
    <w:p>
      <w:r>
        <w:t>c) Finanšu un kapitāla tirgus komisija;</w:t>
      </w:r>
    </w:p>
    <w:p>
      <w:r>
        <w:t>d) Latvijas Banka;</w:t>
      </w:r>
    </w:p>
    <w:p>
      <w:r>
        <w:t>e) Prokuratūra un tās pārraudzībā esošās iestādes;</w:t>
      </w:r>
    </w:p>
    <w:p>
      <w:r>
        <w:t>f) Saeimas kanceleja un tās padotībā esošās iestādes;</w:t>
      </w:r>
    </w:p>
    <w:p>
      <w:r>
        <w:t>g) Satversmes tiesa;</w:t>
      </w:r>
    </w:p>
    <w:p>
      <w:r>
        <w:t>h) Valsts kanceleja un tās padotībā esošās iestādes;</w:t>
      </w:r>
    </w:p>
    <w:p>
      <w:r>
        <w:t>i) Valsts kontrole;</w:t>
      </w:r>
    </w:p>
    <w:p>
      <w:r>
        <w:t>j) Valsts prezidenta kanceleja;</w:t>
      </w:r>
    </w:p>
    <w:p>
      <w:r>
        <w:t>k) Tiesībsarga birojs;</w:t>
      </w:r>
    </w:p>
    <w:p>
      <w:r>
        <w:t>l) Nacionālā radio un televīzijas padome;</w:t>
      </w:r>
    </w:p>
    <w:p>
      <w:r>
        <w:t>(m)Citas valsts iestādes, kuras nav ministriju padotībā (Other state</w:t>
      </w:r>
    </w:p>
    <w:p>
      <w:r>
        <w:t>institutions not subordinate to ministries).</w:t>
      </w:r>
    </w:p>
    <w:p>
      <w:r>
        <w:t>(15) LITHUANIA</w:t>
      </w:r>
    </w:p>
    <w:p>
      <w:r>
        <w:t>a) Prezidentūros kanceliarija;</w:t>
      </w:r>
    </w:p>
    <w:p>
      <w:r>
        <w:t>b) Seimo kanceliarija:</w:t>
      </w:r>
    </w:p>
    <w:p>
      <w:r>
        <w:t>a) Institutions accountable to the Seimas [Parliament]: Lietuvos mokslo taryba;</w:t>
      </w:r>
    </w:p>
    <w:p>
      <w:r>
        <w:t>b) Seimo kontrolierių įstaiga;</w:t>
      </w:r>
    </w:p>
    <w:p>
      <w:r>
        <w:t>c) Valstybės kontrolė;</w:t>
      </w:r>
    </w:p>
    <w:p>
      <w:r>
        <w:t>d) Valstybės saugumo departamentas;</w:t>
      </w:r>
    </w:p>
    <w:p>
      <w:r>
        <w:t>e) Konkurencijos taryba;</w:t>
      </w:r>
    </w:p>
    <w:p>
      <w:r>
        <w:t>f) Lietuvos gyventojų genocido ir rezistencijos tyrimo centras;</w:t>
      </w:r>
    </w:p>
    <w:p>
      <w:r>
        <w:t>g) Vertybinių popierių komisija;</w:t>
      </w:r>
    </w:p>
    <w:p>
      <w:r>
        <w:t>h) Ryšių reguliavimo tarnyba;</w:t>
      </w:r>
    </w:p>
    <w:p>
      <w:r>
        <w:t>i) Nacionalinė sveikatos taryba;</w:t>
      </w:r>
    </w:p>
    <w:p>
      <w:r>
        <w:t>j) Etninės kultūros globos taryba;</w:t>
      </w:r>
    </w:p>
    <w:p>
      <w:r>
        <w:t>k) Lygių galimybių kontrolieriaus tarnyba;</w:t>
      </w:r>
    </w:p>
    <w:p>
      <w:r>
        <w:t>l) Valstybinė kultūros paveldo komisija;</w:t>
      </w:r>
    </w:p>
    <w:p>
      <w:r>
        <w:t>(m)Vaiko teisių apsaugos kontrolieriaus įstaiga;</w:t>
      </w:r>
    </w:p>
    <w:p>
      <w:r>
        <w:t>n) Valstybinė kainų ir energetikos kontrolės komisija;</w:t>
      </w:r>
    </w:p>
    <w:p>
      <w:r>
        <w:t>o) Valstybinė lietuvių kalbos komisija;</w:t>
      </w:r>
    </w:p>
    <w:p>
      <w:r>
        <w:t>p) Vyriausioji rinkimų komisija;</w:t>
      </w:r>
    </w:p>
    <w:p>
      <w:r>
        <w:t>q) Vyriausioji tarnybinės etikos komisija;</w:t>
      </w:r>
    </w:p>
    <w:p>
      <w:r>
        <w:t>r) Žurnalistų etikos inspektoriaus tarnyba;</w:t>
      </w:r>
    </w:p>
    <w:p>
      <w:r>
        <w:t>c) Vyriausybės kanceliarija;</w:t>
      </w:r>
    </w:p>
    <w:p>
      <w:r>
        <w:t>d) Institutions accountable to the Vyriausybė [Government]:</w:t>
      </w:r>
    </w:p>
    <w:p>
      <w:r>
        <w:t>a) Ginklų fondas;</w:t>
      </w:r>
    </w:p>
    <w:p>
      <w:r>
        <w:t>b) Informacinės visuomenės plėtros komitetas;</w:t>
      </w:r>
    </w:p>
    <w:p>
      <w:r>
        <w:t>c) Kūno kultūros ir sporto departamentas;</w:t>
      </w:r>
    </w:p>
    <w:p>
      <w:r>
        <w:t>d) Lietuvos archyvų departamentas;</w:t>
      </w:r>
    </w:p>
    <w:p>
      <w:r>
        <w:t>e) Mokestinių ginčų komisija;</w:t>
      </w:r>
    </w:p>
    <w:p>
      <w:r>
        <w:t>f) Statistikos departamentas;</w:t>
      </w:r>
    </w:p>
    <w:p>
      <w:r>
        <w:t>g) Tautinių mažumų ir išeivijos departamentas;</w:t>
      </w:r>
    </w:p>
    <w:p>
      <w:r>
        <w:t>h) Valstybinė tabako ir alkoholio kontrolės tarnyba;</w:t>
      </w:r>
    </w:p>
    <w:p>
      <w:r>
        <w:t>i) Viešųjų pirkimų tarnyba;</w:t>
      </w:r>
    </w:p>
    <w:p>
      <w:r>
        <w:t>j) Narkotikų kontrolės departamentas;</w:t>
      </w:r>
    </w:p>
    <w:p>
      <w:r>
        <w:t>k) Valstybinė atominės energetikos saugos inspekcija;</w:t>
      </w:r>
    </w:p>
    <w:p>
      <w:r>
        <w:t>l) Valstybinė duomenų apsaugos inspekcija;</w:t>
      </w:r>
    </w:p>
    <w:p>
      <w:r>
        <w:t>(m)Valstybinė lošimų priežiūros komisija;</w:t>
      </w:r>
    </w:p>
    <w:p>
      <w:r>
        <w:t>n) Valstybinė maisto ir veterinarijos tarnyba;</w:t>
      </w:r>
    </w:p>
    <w:p>
      <w:r>
        <w:t>o) Vyriausioji administracinių ginčų komisija;</w:t>
      </w:r>
    </w:p>
    <w:p>
      <w:r>
        <w:t>p) Draudimo priežiūros komisija;</w:t>
      </w:r>
    </w:p>
    <w:p>
      <w:r>
        <w:t>q) Lietuvos valstybinis mokslo ir studijų fondas;</w:t>
      </w:r>
    </w:p>
    <w:p>
      <w:r>
        <w:t>r) Lietuvių grįžimo į Tėvynę informacijos centras.</w:t>
      </w:r>
    </w:p>
    <w:p>
      <w:r>
        <w:t>e) Konstitucinis Teismas;</w:t>
      </w:r>
    </w:p>
    <w:p>
      <w:r>
        <w:t>f) Lietuvos bankas;</w:t>
      </w:r>
    </w:p>
    <w:p>
      <w:r>
        <w:t>g) Aplinkos ministerija;</w:t>
      </w:r>
    </w:p>
    <w:p>
      <w:r>
        <w:t>h) Institutions under the Aplinkos ministerija [Ministry of Environment]:</w:t>
      </w:r>
    </w:p>
    <w:p>
      <w:r>
        <w:t>a) Generalinė miškų urėdija;</w:t>
      </w:r>
    </w:p>
    <w:p>
      <w:r>
        <w:t>b) Lietuvos geologijos tarnyba;</w:t>
      </w:r>
    </w:p>
    <w:p>
      <w:r>
        <w:t>c) Lietuvos hidrometeorologijos tarnyba;</w:t>
      </w:r>
    </w:p>
    <w:p>
      <w:r>
        <w:t>d) Lietuvos standartizacijos departamentas;</w:t>
      </w:r>
    </w:p>
    <w:p>
      <w:r>
        <w:t>e) Nacionalinis akreditacijos biuras;</w:t>
      </w:r>
    </w:p>
    <w:p>
      <w:r>
        <w:t>f) Valstybinė metrologijos tarnyba;</w:t>
      </w:r>
    </w:p>
    <w:p>
      <w:r>
        <w:t>g) Valstybinė saugomų teritorijų tarnyba;</w:t>
      </w:r>
    </w:p>
    <w:p>
      <w:r>
        <w:t>h) Valstybinė teritorijų planavimo ir statybos inspekcija;</w:t>
      </w:r>
    </w:p>
    <w:p>
      <w:r>
        <w:t>i) Finansų ministerija;</w:t>
      </w:r>
    </w:p>
    <w:p>
      <w:r>
        <w:t>j) Institutions under the Finansų ministerija [Ministry of Finance]:</w:t>
      </w:r>
    </w:p>
    <w:p>
      <w:r>
        <w:t>a) Muitinės departamentas;</w:t>
      </w:r>
    </w:p>
    <w:p>
      <w:r>
        <w:t>b) Valstybės dokumentų technologinės apsaugos tarnyba;</w:t>
      </w:r>
    </w:p>
    <w:p>
      <w:r>
        <w:t>c) Valstybinė mokesčių inspekcija;</w:t>
      </w:r>
    </w:p>
    <w:p>
      <w:r>
        <w:t>d) Finansų ministerijos mokymo centras;</w:t>
      </w:r>
    </w:p>
    <w:p>
      <w:r>
        <w:t>k) Krašto apsaugos ministerija;</w:t>
      </w:r>
    </w:p>
    <w:p>
      <w:r>
        <w:t>l) Institutions under the Krašto apsaugos ministerija [Ministry of National Defence]:</w:t>
      </w:r>
    </w:p>
    <w:p>
      <w:r>
        <w:t>a) Antrasis operatyvinių tarnybų departamentas;</w:t>
      </w:r>
    </w:p>
    <w:p>
      <w:r>
        <w:t>b) Centralizuota finansų ir turto tarnyba;</w:t>
      </w:r>
    </w:p>
    <w:p>
      <w:r>
        <w:t>c) Karo prievolės administravimo tarnyba;</w:t>
      </w:r>
    </w:p>
    <w:p>
      <w:r>
        <w:t>d) Krašto apsaugos archyvas;</w:t>
      </w:r>
    </w:p>
    <w:p>
      <w:r>
        <w:t>e) Krizių valdymo centras;</w:t>
      </w:r>
    </w:p>
    <w:p>
      <w:r>
        <w:t>f) Mobilizacijos departamentas;</w:t>
      </w:r>
    </w:p>
    <w:p>
      <w:r>
        <w:t>g) Ryšių ir informacinių sistemų tarnyba;</w:t>
      </w:r>
    </w:p>
    <w:p>
      <w:r>
        <w:t>h) Infrastruktūros plėtros departamentas;</w:t>
      </w:r>
    </w:p>
    <w:p>
      <w:r>
        <w:t>i) Valstybinis pilietinio pasipriešinimo rengimo centras;</w:t>
      </w:r>
    </w:p>
    <w:p>
      <w:r>
        <w:t>(m)Lietuvos kariuomenė;</w:t>
      </w:r>
    </w:p>
    <w:p>
      <w:r>
        <w:t>n) Krašto apsaugos sistemos kariniai vienetai ir tarnybos;</w:t>
      </w:r>
    </w:p>
    <w:p>
      <w:r>
        <w:t>o) Kultūros ministerija;</w:t>
      </w:r>
    </w:p>
    <w:p>
      <w:r>
        <w:t>p) Institutions under the Kultūros ministerija [Ministry of Culture]:</w:t>
      </w:r>
    </w:p>
    <w:p>
      <w:r>
        <w:t>a) Kultūros paveldo departamentas;</w:t>
      </w:r>
    </w:p>
    <w:p>
      <w:r>
        <w:t>b) Valstybinė kalbos inspekcija;</w:t>
      </w:r>
    </w:p>
    <w:p>
      <w:r>
        <w:t>q) Socialinės apsaugos ir darbo ministerija;</w:t>
      </w:r>
    </w:p>
    <w:p>
      <w:r>
        <w:t>r) Institutions under the Socialinės apsaugos ir darbo ministerija [Ministry of Social Security and Labour]:</w:t>
      </w:r>
    </w:p>
    <w:p>
      <w:r>
        <w:t>a) Garantinio fondo administracija;</w:t>
      </w:r>
    </w:p>
    <w:p>
      <w:r>
        <w:t>b) Valstybės vaiko teisių apsaugos ir įvaikinimo tarnyba;</w:t>
      </w:r>
    </w:p>
    <w:p>
      <w:r>
        <w:t>c) Lietuvos darbo birža;</w:t>
      </w:r>
    </w:p>
    <w:p>
      <w:r>
        <w:t>d) Lietuvos darbo rinkos mokymo tarnyba;</w:t>
      </w:r>
    </w:p>
    <w:p>
      <w:r>
        <w:t>e) Trišalės tarybos sekretoriatas;</w:t>
      </w:r>
    </w:p>
    <w:p>
      <w:r>
        <w:t>f) Socialinių paslaugų priežiūros departamentas;</w:t>
      </w:r>
    </w:p>
    <w:p>
      <w:r>
        <w:t>g) Darbo inspekcija;</w:t>
      </w:r>
    </w:p>
    <w:p>
      <w:r>
        <w:t>h) Valstybinio socialinio draudimo fondo valdyba;</w:t>
      </w:r>
    </w:p>
    <w:p>
      <w:r>
        <w:t>i) Neįgalumo ir darbingumo nustatymo tarnyba;</w:t>
      </w:r>
    </w:p>
    <w:p>
      <w:r>
        <w:t>j) Ginčų komisija;</w:t>
      </w:r>
    </w:p>
    <w:p>
      <w:r>
        <w:t>k) Techninės pagalbos neįgaliesiems centras;</w:t>
      </w:r>
    </w:p>
    <w:p>
      <w:r>
        <w:t>l) Neįgaliųjų reikalų departamentas;</w:t>
      </w:r>
    </w:p>
    <w:p>
      <w:r>
        <w:t>s) Susisiekimo ministerija;</w:t>
      </w:r>
    </w:p>
    <w:p>
      <w:r>
        <w:t>t) Institutions under the Susisiekimo ministerija [Ministry of Transport and Communications]:</w:t>
      </w:r>
    </w:p>
    <w:p>
      <w:r>
        <w:t>a) Lietuvos automobilių kelių direkcija;</w:t>
      </w:r>
    </w:p>
    <w:p>
      <w:r>
        <w:t>b) Valstybinė geležinkelio inspekcija;</w:t>
      </w:r>
    </w:p>
    <w:p>
      <w:r>
        <w:t>c) Valstybinė kelių transporto inspekcija;</w:t>
      </w:r>
    </w:p>
    <w:p>
      <w:r>
        <w:t>d) Pasienio kontrolės punktų direkcija;</w:t>
      </w:r>
    </w:p>
    <w:p>
      <w:r>
        <w:t>u) Sveikatos apsaugos ministerija;</w:t>
      </w:r>
    </w:p>
    <w:p>
      <w:r>
        <w:t>v) Institutions under the Sveikatos apsaugos ministerija [Ministry of Health]:</w:t>
      </w:r>
    </w:p>
    <w:p>
      <w:r>
        <w:t>a) Valstybinė akreditavimo sveikatos priežiūros veiklai tarnyba;</w:t>
      </w:r>
    </w:p>
    <w:p>
      <w:r>
        <w:t>b) Valstybinė ligonių kasa;</w:t>
      </w:r>
    </w:p>
    <w:p>
      <w:r>
        <w:t>c) Valstybinė medicininio audito inspekcija;</w:t>
      </w:r>
    </w:p>
    <w:p>
      <w:r>
        <w:t>d) Valstybinė vaistų kontrolės tarnyba;</w:t>
      </w:r>
    </w:p>
    <w:p>
      <w:r>
        <w:t>e) Valstybinė teismo psichiatrijos ir narkologijos tarnyba;</w:t>
      </w:r>
    </w:p>
    <w:p>
      <w:r>
        <w:t>f) Valstybinė visuomenės sveikatos priežiūros tarnyba;</w:t>
      </w:r>
    </w:p>
    <w:p>
      <w:r>
        <w:t>g) Farmacijos departamentas;</w:t>
      </w:r>
    </w:p>
    <w:p>
      <w:r>
        <w:t>h) Sveikatos apsaugos ministerijos Ekstremalių sveikatai situacijų centras;</w:t>
      </w:r>
    </w:p>
    <w:p>
      <w:r>
        <w:t>i) Lietuvos bioetikos komitetas;</w:t>
      </w:r>
    </w:p>
    <w:p>
      <w:r>
        <w:t>j) Radiacinės saugos centras;</w:t>
      </w:r>
    </w:p>
    <w:p>
      <w:r>
        <w:t>(w)Švietimo ir mokslo ministerija;</w:t>
      </w:r>
    </w:p>
    <w:p>
      <w:r>
        <w:t>x) Institutions under the Švietimo ir mokslo ministerija [Ministry of Education and Science]:</w:t>
      </w:r>
    </w:p>
    <w:p>
      <w:r>
        <w:t>a) Nacionalinis egzaminų centras;</w:t>
      </w:r>
    </w:p>
    <w:p>
      <w:r>
        <w:t>b) Studijų kokybės vertinimo centras;</w:t>
      </w:r>
    </w:p>
    <w:p>
      <w:r>
        <w:t>y) Teisingumo ministerija;</w:t>
      </w:r>
    </w:p>
    <w:p>
      <w:r>
        <w:t>z) Institutions under the Teisingumo ministerija [Ministry of Justice]:</w:t>
      </w:r>
    </w:p>
    <w:p>
      <w:r>
        <w:t>a) Kalėjimų departamentas;</w:t>
      </w:r>
    </w:p>
    <w:p>
      <w:r>
        <w:t>b) Nacionalinė vartotojų teisių apsaugos taryba;</w:t>
      </w:r>
    </w:p>
    <w:p>
      <w:r>
        <w:t>c) Europos teisės departamentas;</w:t>
      </w:r>
    </w:p>
    <w:p>
      <w:r>
        <w:t>(aa)Teisingumo ministerija;</w:t>
      </w:r>
    </w:p>
    <w:p>
      <w:r>
        <w:t>(bb)Institutions under the Teisingumo ministerija [Ministry of Justice]:</w:t>
      </w:r>
    </w:p>
    <w:p>
      <w:r>
        <w:t>a) Kalėjimų departamentas;</w:t>
      </w:r>
    </w:p>
    <w:p>
      <w:r>
        <w:t>b) Nacionalinė vartotojų teisių apsaugos taryba;</w:t>
      </w:r>
    </w:p>
    <w:p>
      <w:r>
        <w:t>c) Europos teisės departamentas;</w:t>
      </w:r>
    </w:p>
    <w:p>
      <w:r>
        <w:t>(cc)Ūkio ministerija;</w:t>
      </w:r>
    </w:p>
    <w:p>
      <w:r>
        <w:t>(dd)Institutions under the Ūkio ministerija [Ministry of Economy]:</w:t>
      </w:r>
    </w:p>
    <w:p>
      <w:r>
        <w:t>a) Įmonių bankroto valdymo departamentas;</w:t>
      </w:r>
    </w:p>
    <w:p>
      <w:r>
        <w:t>b) Valstybinė energetikos inspekcija;</w:t>
      </w:r>
    </w:p>
    <w:p>
      <w:r>
        <w:t>c) Valstybinė ne maisto produktų inspekcija;</w:t>
      </w:r>
    </w:p>
    <w:p>
      <w:r>
        <w:t>d) Valstybinis turizmo departamentas;</w:t>
      </w:r>
    </w:p>
    <w:p>
      <w:r>
        <w:t>(ee)Užsienio reikalų ministerija;</w:t>
      </w:r>
    </w:p>
    <w:p>
      <w:r>
        <w:t>(ff)Diplomatinės atstovybės ir konsulinės įstaigos užsienyje bei atstovybės prie</w:t>
      </w:r>
    </w:p>
    <w:p>
      <w:r>
        <w:t>tarptautinių organizacijų;</w:t>
      </w:r>
    </w:p>
    <w:p>
      <w:r>
        <w:t>(gg)Vidaus reikalų ministerija;</w:t>
      </w:r>
    </w:p>
    <w:p>
      <w:r>
        <w:t>(hh)Institutions under the Vidaus reikalų ministerija [Ministry of the Interior]:</w:t>
      </w:r>
    </w:p>
    <w:p>
      <w:r>
        <w:t>a) Asmens dokumentų išrašymo centras;</w:t>
      </w:r>
    </w:p>
    <w:p>
      <w:r>
        <w:t>b) Finansinių nusikaltimų tyrimo tarnyba;</w:t>
      </w:r>
    </w:p>
    <w:p>
      <w:r>
        <w:t>c) Gyventojų registro tarnyba;</w:t>
      </w:r>
    </w:p>
    <w:p>
      <w:r>
        <w:t>d) Policijos departamentas;</w:t>
      </w:r>
    </w:p>
    <w:p>
      <w:r>
        <w:t>e) Priešgaisrinės apsaugos ir gelbėjimo departamentas;</w:t>
      </w:r>
    </w:p>
    <w:p>
      <w:r>
        <w:t>f) Turto valdymo ir ūkio departamentas;</w:t>
      </w:r>
    </w:p>
    <w:p>
      <w:r>
        <w:t>g) Vadovybės apsaugos departamentas;</w:t>
      </w:r>
    </w:p>
    <w:p>
      <w:r>
        <w:t>h) Valstybės sienos apsaugos tarnyba;</w:t>
      </w:r>
    </w:p>
    <w:p>
      <w:r>
        <w:t>i) Valstybės tarnybos departamentas;</w:t>
      </w:r>
    </w:p>
    <w:p>
      <w:r>
        <w:t>j) Informatikos ir ryšių departamentas;</w:t>
      </w:r>
    </w:p>
    <w:p>
      <w:r>
        <w:t>k) Migracijos departamentas;</w:t>
      </w:r>
    </w:p>
    <w:p>
      <w:r>
        <w:t>l) Sveikatos priežiūros tarnyba;</w:t>
      </w:r>
    </w:p>
    <w:p>
      <w:r>
        <w:t>(m)Bendrasis pagalbos centras;</w:t>
      </w:r>
    </w:p>
    <w:p>
      <w:r>
        <w:t>ii) Žemės ūkio ministerija;</w:t>
      </w:r>
    </w:p>
    <w:p>
      <w:r>
        <w:t>(jj) Institutions under the Žemės ūkio ministerija [Ministry of Agriculture]:</w:t>
      </w:r>
    </w:p>
    <w:p>
      <w:r>
        <w:t>a) Nacionalinė mokėjimo agentūra;</w:t>
      </w:r>
    </w:p>
    <w:p>
      <w:r>
        <w:t>b) Nacionalinė žemės tarnyba;</w:t>
      </w:r>
    </w:p>
    <w:p>
      <w:r>
        <w:t>c) Valstybinė augalų apsaugos tarnyba;</w:t>
      </w:r>
    </w:p>
    <w:p>
      <w:r>
        <w:t>d) Valstybinė gyvulių veislininkystės priežiūros tarnyba;</w:t>
      </w:r>
    </w:p>
    <w:p>
      <w:r>
        <w:t>e) Valstybinė sėklų ir grūdų tarnyba;</w:t>
      </w:r>
    </w:p>
    <w:p>
      <w:r>
        <w:t>f) Žuvininkystės departamentas;</w:t>
      </w:r>
    </w:p>
    <w:p>
      <w:r>
        <w:t>(kk)Teismai [Courts]:</w:t>
      </w:r>
    </w:p>
    <w:p>
      <w:r>
        <w:t>a) Lietuvos Aukščiausiasis Teismas;</w:t>
      </w:r>
    </w:p>
    <w:p>
      <w:r>
        <w:t>b) Lietuvos apeliacinis teismas;</w:t>
      </w:r>
    </w:p>
    <w:p>
      <w:r>
        <w:t>c) Lietuvos vyriausiasis administracinis teismas;</w:t>
      </w:r>
    </w:p>
    <w:p>
      <w:r>
        <w:t>d) apygardų teismai;apygardų administraciniai teismai;</w:t>
      </w:r>
    </w:p>
    <w:p>
      <w:r>
        <w:t>e) apylinkių teismai;</w:t>
      </w:r>
    </w:p>
    <w:p>
      <w:r>
        <w:t>f) Nacionalinė teismų administracija;</w:t>
      </w:r>
    </w:p>
    <w:p>
      <w:r>
        <w:t>(ll) Generalinė prokuratūra;</w:t>
      </w:r>
    </w:p>
    <w:p>
      <w:r>
        <w:t>(mm)Other Central Public Administration Entities (institucijos [institutions], įstaigos</w:t>
      </w:r>
    </w:p>
    <w:p>
      <w:r>
        <w:t>[establishments], tarnybos [agencies]):</w:t>
      </w:r>
    </w:p>
    <w:p>
      <w:r>
        <w:t>a) Aplinkos apsaugos agentūra;</w:t>
      </w:r>
    </w:p>
    <w:p>
      <w:r>
        <w:t>b) Valstybinė aplinkos apsaugos inspekcija;</w:t>
      </w:r>
    </w:p>
    <w:p>
      <w:r>
        <w:t>c) Aplinkos projektų valdymo agentūra;</w:t>
      </w:r>
    </w:p>
    <w:p>
      <w:r>
        <w:t>d) Miško genetinių išteklių, sėklų ir sodmenų tarnyba;</w:t>
      </w:r>
    </w:p>
    <w:p>
      <w:r>
        <w:t>e) Miško sanitarinės apsaugos tarnyba;</w:t>
      </w:r>
    </w:p>
    <w:p>
      <w:r>
        <w:t>f) Nacionalinis visuomenės sveikatos tyrimų centras;</w:t>
      </w:r>
    </w:p>
    <w:p>
      <w:r>
        <w:t>g) Lietuvos AIDS centras;</w:t>
      </w:r>
    </w:p>
    <w:p>
      <w:r>
        <w:t>h) Nacionalinis organų transplantacijos biuras;</w:t>
      </w:r>
    </w:p>
    <w:p>
      <w:r>
        <w:t>i) Valstybinis patologijos centras;</w:t>
      </w:r>
    </w:p>
    <w:p>
      <w:r>
        <w:t>j) Valstybinis psichikos sveikatos centras;</w:t>
      </w:r>
    </w:p>
    <w:p>
      <w:r>
        <w:t>k) Lietuvos sveikatos informacijos centras;</w:t>
      </w:r>
    </w:p>
    <w:p>
      <w:r>
        <w:t>l) Slaugos darbuotojų tobulinimosi ir specializacijos centras;</w:t>
      </w:r>
    </w:p>
    <w:p>
      <w:r>
        <w:t>(m)Valstybinis aplinkos sveikatos centras;</w:t>
      </w:r>
    </w:p>
    <w:p>
      <w:r>
        <w:t>n) Respublikinis mitybos centras;</w:t>
      </w:r>
    </w:p>
    <w:p>
      <w:r>
        <w:t>o) Užkrečiamųjų ligų profilaktikos ir kontrolės centras;</w:t>
      </w:r>
    </w:p>
    <w:p>
      <w:r>
        <w:t>p) Trakų visuomenės sveikatos priežiūros ir specialistų tobulinimosi centras;</w:t>
      </w:r>
    </w:p>
    <w:p>
      <w:r>
        <w:t>q) Visuomenės sveikatos ugdymo centras;</w:t>
      </w:r>
    </w:p>
    <w:p>
      <w:r>
        <w:t>r) Muitinės kriminalinė tarnyba;</w:t>
      </w:r>
    </w:p>
    <w:p>
      <w:r>
        <w:t>s) Muitinės informacinių sistemų centras;</w:t>
      </w:r>
    </w:p>
    <w:p>
      <w:r>
        <w:t>t) Muitinės laboratorija;</w:t>
      </w:r>
    </w:p>
    <w:p>
      <w:r>
        <w:t>u) Muitinės mokymo centras;</w:t>
      </w:r>
    </w:p>
    <w:p>
      <w:r>
        <w:t>v) Valstybinis patentų biuras;</w:t>
      </w:r>
    </w:p>
    <w:p>
      <w:r>
        <w:t>(w)Lietuvos teismo ekspertizės centras;</w:t>
      </w:r>
    </w:p>
    <w:p>
      <w:r>
        <w:t>x) Centrinė hipotekos įstaiga;</w:t>
      </w:r>
    </w:p>
    <w:p>
      <w:r>
        <w:t>y) Lietuvos metrologijos inspekcija;</w:t>
      </w:r>
    </w:p>
    <w:p>
      <w:r>
        <w:t>z) Civilinės aviacijos administracija;</w:t>
      </w:r>
    </w:p>
    <w:p>
      <w:r>
        <w:t>(aa)Lietuvos saugios laivybos administracija;</w:t>
      </w:r>
    </w:p>
    <w:p>
      <w:r>
        <w:t>(bb)Transporto investicijų direkcija;</w:t>
      </w:r>
    </w:p>
    <w:p>
      <w:r>
        <w:t>(cc)Valstybinė vidaus vandenų laivybos inspekcija;</w:t>
      </w:r>
    </w:p>
    <w:p>
      <w:r>
        <w:t>(dd)Pabėgėlių priėmimo centras.</w:t>
      </w:r>
    </w:p>
    <w:p>
      <w:r>
        <w:t>(16) LUXEMBOURG</w:t>
      </w:r>
    </w:p>
    <w:p>
      <w:r>
        <w:t>a) Ministère d’Etat;</w:t>
      </w:r>
    </w:p>
    <w:p>
      <w:r>
        <w:t>b) Ministère des Affaires Etrangères et de l’Immigration;</w:t>
      </w:r>
    </w:p>
    <w:p>
      <w:r>
        <w:t>c) Ministère de l’Agriculture, de la Viticulture et du Développement Rural;</w:t>
      </w:r>
    </w:p>
    <w:p>
      <w:r>
        <w:t>d) Ministère des Classes moyennes, du Tourisme et du Logement;</w:t>
      </w:r>
    </w:p>
    <w:p>
      <w:r>
        <w:t>e) Ministère de la Culture, de l’Enseignement Supérieur et de la Recherche;</w:t>
      </w:r>
    </w:p>
    <w:p>
      <w:r>
        <w:t>f) Ministère de l’Economie et du Commerce extérieur;</w:t>
      </w:r>
    </w:p>
    <w:p>
      <w:r>
        <w:t>g) Ministère de l’Education nationale et de la Formation professionnelle;</w:t>
      </w:r>
    </w:p>
    <w:p>
      <w:r>
        <w:t>h) Ministère de l’Egalité des chances;</w:t>
      </w:r>
    </w:p>
    <w:p>
      <w:r>
        <w:t>i) Ministère de l’Environnement;</w:t>
      </w:r>
    </w:p>
    <w:p>
      <w:r>
        <w:t>j) Ministère de la Famille et de l’Intégration;</w:t>
      </w:r>
    </w:p>
    <w:p>
      <w:r>
        <w:t>k) Ministère des Finances;</w:t>
      </w:r>
    </w:p>
    <w:p>
      <w:r>
        <w:t>l) Ministère de la Fonction publique et de la Réforme administrative;</w:t>
      </w:r>
    </w:p>
    <w:p>
      <w:r>
        <w:t>(m)Ministère de l’Intérieur et de l’Aménagement du territoire;</w:t>
      </w:r>
    </w:p>
    <w:p>
      <w:r>
        <w:t>n) Ministère de la Justice;</w:t>
      </w:r>
    </w:p>
    <w:p>
      <w:r>
        <w:t>o) Ministère de la Santé;</w:t>
      </w:r>
    </w:p>
    <w:p>
      <w:r>
        <w:t>p) Ministère de la Sécurité sociale;</w:t>
      </w:r>
    </w:p>
    <w:p>
      <w:r>
        <w:t>q) Ministère des Transports;</w:t>
      </w:r>
    </w:p>
    <w:p>
      <w:r>
        <w:t>r) Ministère du Travail et de l’Emploi;</w:t>
      </w:r>
    </w:p>
    <w:p>
      <w:r>
        <w:t>s) Ministère des Travaux publics.</w:t>
      </w:r>
    </w:p>
    <w:p>
      <w:r>
        <w:t>(17) HUNGARY</w:t>
      </w:r>
    </w:p>
    <w:p>
      <w:r>
        <w:t>a) Egészségügyi Minisztérium;</w:t>
      </w:r>
    </w:p>
    <w:p>
      <w:r>
        <w:t>b) Földművelésügyi és Vidékfejlesztési Minisztérium;</w:t>
      </w:r>
    </w:p>
    <w:p>
      <w:r>
        <w:t>c) Gazdasági és Közlekedési Minisztérium;</w:t>
      </w:r>
    </w:p>
    <w:p>
      <w:r>
        <w:t>d) Honvédelmi Minisztérium;</w:t>
      </w:r>
    </w:p>
    <w:p>
      <w:r>
        <w:t>e) Igazságügyi és Rendészeti Minisztérium;</w:t>
      </w:r>
    </w:p>
    <w:p>
      <w:r>
        <w:t>f) Környezetvédelmi és Vízügyi Minisztérium;</w:t>
      </w:r>
    </w:p>
    <w:p>
      <w:r>
        <w:t>g) Külügyminisztérium;</w:t>
      </w:r>
    </w:p>
    <w:p>
      <w:r>
        <w:t>h) Miniszterelnöki Hivatal;</w:t>
      </w:r>
    </w:p>
    <w:p>
      <w:r>
        <w:t>i) Oktatási és Kulturális Minisztérium;</w:t>
      </w:r>
    </w:p>
    <w:p>
      <w:r>
        <w:t>j) Önkormányzati és Területfejlesztési Minisztérium;</w:t>
      </w:r>
    </w:p>
    <w:p>
      <w:r>
        <w:t>k) Pénzügyminisztérium;</w:t>
      </w:r>
    </w:p>
    <w:p>
      <w:r>
        <w:t>l) Szociális és Munkaügyi Minisztérium;</w:t>
      </w:r>
    </w:p>
    <w:p>
      <w:r>
        <w:t>(m)Központi Szolgáltatási Főigazgatóság.</w:t>
      </w:r>
    </w:p>
    <w:p>
      <w:r>
        <w:t>(18) MALTA</w:t>
      </w:r>
    </w:p>
    <w:p>
      <w:r>
        <w:t>a) Uffiċċju tal-Prim Ministru (Office of the Prime Minister);</w:t>
      </w:r>
    </w:p>
    <w:p>
      <w:r>
        <w:t>b) Ministeru għall-Familja u Solidarjeta' Soċjali (Ministry for the Family and Social Solidarity);</w:t>
      </w:r>
    </w:p>
    <w:p>
      <w:r>
        <w:t>c) Ministeru ta' l-Edukazzjoni Zghazagh u Impjieg (Ministry for Education Youth and Employment);</w:t>
      </w:r>
    </w:p>
    <w:p>
      <w:r>
        <w:t>d) Ministeru tal-Finanzi (Ministry of Finance);</w:t>
      </w:r>
    </w:p>
    <w:p>
      <w:r>
        <w:t>e) Ministeru tar-Riżorsi u l-Infrastruttura (Ministry for Resources and Infrastructure);</w:t>
      </w:r>
    </w:p>
    <w:p>
      <w:r>
        <w:t>f) Ministeru tat-Turiżmu u Kultura (Ministry for Tourism and Culture);</w:t>
      </w:r>
    </w:p>
    <w:p>
      <w:r>
        <w:t>g) Ministeru tal-Ġustizzja u l-Intern (Ministry for Justice and Home Affairs);</w:t>
      </w:r>
    </w:p>
    <w:p>
      <w:r>
        <w:t>h) Ministeru għall-Affarijiet Rurali u l-Ambjent (Ministry for Rural Affairs and the Environment);</w:t>
      </w:r>
    </w:p>
    <w:p>
      <w:r>
        <w:t>i) Ministeru għal Għawdex (Ministry for Gozo);</w:t>
      </w:r>
    </w:p>
    <w:p>
      <w:r>
        <w:t>j) Ministeru tas-Saħħa, l-Anzjani u Kura fil-Kommunita' (Ministry of Health, the Elderly and Community Care);</w:t>
      </w:r>
    </w:p>
    <w:p>
      <w:r>
        <w:t>k) Ministeru ta' l-Affarijiet Barranin (Ministry of Foreign Affairs);</w:t>
      </w:r>
    </w:p>
    <w:p>
      <w:r>
        <w:t>l) Ministeru għall-Investimenti, Industrija u Teknologija ta' Informazzjoni (Ministry for Investment, Industry and Information Technology);</w:t>
      </w:r>
    </w:p>
    <w:p>
      <w:r>
        <w:t>(m)Ministeru għall-Kompetittivà u Komunikazzjoni (Ministry for Competitiveness</w:t>
      </w:r>
    </w:p>
    <w:p>
      <w:r>
        <w:t>and Communications);</w:t>
      </w:r>
    </w:p>
    <w:p>
      <w:r>
        <w:t>n) Ministeru għall-Iżvilupp Urban u Toroq (Ministry for Urban Development and Roads).</w:t>
      </w:r>
    </w:p>
    <w:p>
      <w:r>
        <w:t>(19) NETHERLANDS</w:t>
      </w:r>
    </w:p>
    <w:p>
      <w:r>
        <w:t>a) Ministerie van Algemene Zaken:</w:t>
      </w:r>
    </w:p>
    <w:p>
      <w:r>
        <w:t>a) Bestuursdepartement;</w:t>
      </w:r>
    </w:p>
    <w:p>
      <w:r>
        <w:t>b) Bureau van de Wetenschappelijke Raad voor het Regeringsbeleid;</w:t>
      </w:r>
    </w:p>
    <w:p>
      <w:r>
        <w:t>c) Rijksvoorlichtingsdienst;</w:t>
      </w:r>
    </w:p>
    <w:p>
      <w:r>
        <w:t>b) Ministerie van Binnenlandse Zaken en Koninkrijksrelaties Bestuursdepartement:</w:t>
      </w:r>
    </w:p>
    <w:p>
      <w:r>
        <w:t>a) Centrale Archiefselectiedienst (CAS);</w:t>
      </w:r>
    </w:p>
    <w:p>
      <w:r>
        <w:t>b) Algemene Inlichtingen- en Veiligheidsdienst (AIVD);</w:t>
      </w:r>
    </w:p>
    <w:p>
      <w:r>
        <w:t>c) Agentschap Basisadministratie Persoonsgegevens en Reisdocumenten (BPR);</w:t>
      </w:r>
    </w:p>
    <w:p>
      <w:r>
        <w:t>d) Agentschap Korps;</w:t>
      </w:r>
    </w:p>
    <w:p>
      <w:r>
        <w:t>e) Landelijke Politiediensten;</w:t>
      </w:r>
    </w:p>
    <w:p>
      <w:r>
        <w:t>c) Ministerie van Buitenlandse Zaken:</w:t>
      </w:r>
    </w:p>
    <w:p>
      <w:r>
        <w:t>a) Directoraat-generaal Regiobeleid en Consulaire Zaken (DGRC);</w:t>
      </w:r>
    </w:p>
    <w:p>
      <w:r>
        <w:t>b) Directoraat-generaal Politieke Zaken (DGPZ);</w:t>
      </w:r>
    </w:p>
    <w:p>
      <w:r>
        <w:t>c) Directoraat-generaal Internationale Samenwerking (DGIS);</w:t>
      </w:r>
    </w:p>
    <w:p>
      <w:r>
        <w:t>d) Directoraat-generaal Europese Samenwerking (DGES);</w:t>
      </w:r>
    </w:p>
    <w:p>
      <w:r>
        <w:t>e) Centrum tot Bevordering van de Import uit Ontwikkelingslanden (CBI);</w:t>
      </w:r>
    </w:p>
    <w:p>
      <w:r>
        <w:t>f) Centrale diensten ressorterend onder S/PlvS (Support services falling under the Secretary-general and Deputy Secretary- general);</w:t>
      </w:r>
    </w:p>
    <w:p>
      <w:r>
        <w:t>g) Buitenlandse Posten (ieder afzonderlijk);</w:t>
      </w:r>
    </w:p>
    <w:p>
      <w:r>
        <w:t>d) Ministerie van Defensie — (Ministry of Defence):</w:t>
      </w:r>
    </w:p>
    <w:p>
      <w:r>
        <w:t>a) Bestuursdepartement;</w:t>
      </w:r>
    </w:p>
    <w:p>
      <w:r>
        <w:t>b) Commando Diensten Centra (CDC);</w:t>
      </w:r>
    </w:p>
    <w:p>
      <w:r>
        <w:t>c) Defensie Telematica Organisatie (DTO);</w:t>
      </w:r>
    </w:p>
    <w:p>
      <w:r>
        <w:t>d) Centrale directie van de Defensie Vastgoed Dienst</w:t>
      </w:r>
    </w:p>
    <w:p>
      <w:r>
        <w:t>e) De afzonderlijke regionale directies van de Defensie Vastgoed Dienst;</w:t>
      </w:r>
    </w:p>
    <w:p>
      <w:r>
        <w:t>f) Defensie Materieel Organisatie (DMO);</w:t>
      </w:r>
    </w:p>
    <w:p>
      <w:r>
        <w:t>g) Landelijk Bevoorradingsbedrijf van de Defensie Materieel Organisatie;</w:t>
      </w:r>
    </w:p>
    <w:p>
      <w:r>
        <w:t>h) Logistiek Centrum van de Defensie Materieel Organisatie</w:t>
      </w:r>
    </w:p>
    <w:p>
      <w:r>
        <w:t>i) Marinebedrijf van de Defensie Materieel Organisatie;</w:t>
      </w:r>
    </w:p>
    <w:p>
      <w:r>
        <w:t>j) Defensie Pijpleiding Organisatie (DPO);</w:t>
      </w:r>
    </w:p>
    <w:p>
      <w:r>
        <w:t>e) Ministerie van Economische Zaken:</w:t>
      </w:r>
    </w:p>
    <w:p>
      <w:r>
        <w:t>a) Bestuursdepartement;</w:t>
      </w:r>
    </w:p>
    <w:p>
      <w:r>
        <w:t>b) Centraal Planbureau (CPB);</w:t>
      </w:r>
    </w:p>
    <w:p>
      <w:r>
        <w:t>c) SenterNovem;</w:t>
      </w:r>
    </w:p>
    <w:p>
      <w:r>
        <w:t>d) Staatstoezicht op de Mijnen (SodM);</w:t>
      </w:r>
    </w:p>
    <w:p>
      <w:r>
        <w:t>e) Nederlandse Mededingingsautoriteit (NMa);</w:t>
      </w:r>
    </w:p>
    <w:p>
      <w:r>
        <w:t>f) Economische Voorlichtingsdienst (EVD);</w:t>
      </w:r>
    </w:p>
    <w:p>
      <w:r>
        <w:t>g) Agentschap Telecom Kenniscentrum Professioneel &amp; Innovatief Aanbesteden, Netwerk voor Overheidsopdrachtgevers (PIANOo);</w:t>
      </w:r>
    </w:p>
    <w:p>
      <w:r>
        <w:t>h) Regiebureau Inkoop Rijksoverheid;</w:t>
      </w:r>
    </w:p>
    <w:p>
      <w:r>
        <w:t>i) Octrooicentrum Nederland;</w:t>
      </w:r>
    </w:p>
    <w:p>
      <w:r>
        <w:t>j) Consumentenautoriteit;</w:t>
      </w:r>
    </w:p>
    <w:p>
      <w:r>
        <w:t>f) Ministerie van Financiën:</w:t>
      </w:r>
    </w:p>
    <w:p>
      <w:r>
        <w:t>a) Bestuursdepartement;</w:t>
      </w:r>
    </w:p>
    <w:p>
      <w:r>
        <w:t>b) Belastingdienst Automatiseringscentrum;</w:t>
      </w:r>
    </w:p>
    <w:p>
      <w:r>
        <w:t>c) Belastingdienst;</w:t>
      </w:r>
    </w:p>
    <w:p>
      <w:r>
        <w:t>d) de afzonderlijke Directies der Rijksbelastingen (the various Divisions of the Tax and Customs Administration throughout the Netherlands);</w:t>
      </w:r>
    </w:p>
    <w:p>
      <w:r>
        <w:t>e) Fiscale Inlichtingen- en Opsporingsdienst (incl. Economische Controle dienst (ECD))</w:t>
      </w:r>
    </w:p>
    <w:p>
      <w:r>
        <w:t>f) Belastingdienst Opleidingen;</w:t>
      </w:r>
    </w:p>
    <w:p>
      <w:r>
        <w:t>g) Dienst der Domeinen;</w:t>
      </w:r>
    </w:p>
    <w:p>
      <w:r>
        <w:t>g) Ministerie van Justitie:</w:t>
      </w:r>
    </w:p>
    <w:p>
      <w:r>
        <w:t>a) Bestuursdepartement;</w:t>
      </w:r>
    </w:p>
    <w:p>
      <w:r>
        <w:t>b) Dienst Justitiële Inrichtingen;</w:t>
      </w:r>
    </w:p>
    <w:p>
      <w:r>
        <w:t>c) Raad voor de Kinderbescherming;</w:t>
      </w:r>
    </w:p>
    <w:p>
      <w:r>
        <w:t>d) Centraal Justitie Incasso Bureau;</w:t>
      </w:r>
    </w:p>
    <w:p>
      <w:r>
        <w:t>e) Openbaar Ministerie;</w:t>
      </w:r>
    </w:p>
    <w:p>
      <w:r>
        <w:t>f) Immigratie en Naturalisatiedienst;</w:t>
      </w:r>
    </w:p>
    <w:p>
      <w:r>
        <w:t>g) Nederlands Forensisch Instituut;</w:t>
      </w:r>
    </w:p>
    <w:p>
      <w:r>
        <w:t>h) Dienst Terugkeer &amp; Vertrek;</w:t>
      </w:r>
    </w:p>
    <w:p>
      <w:r>
        <w:t>h) Ministerie van Landbouw, Natuur en Voedselkwaliteit:</w:t>
      </w:r>
    </w:p>
    <w:p>
      <w:r>
        <w:t>a) Bestuursdepartement;</w:t>
      </w:r>
    </w:p>
    <w:p>
      <w:r>
        <w:t>b) Dienst Regelingen (DR);</w:t>
      </w:r>
    </w:p>
    <w:p>
      <w:r>
        <w:t>c) Agentschap Plantenziektenkundige Dienst (PD);</w:t>
      </w:r>
    </w:p>
    <w:p>
      <w:r>
        <w:t>d) Algemene Inspectiedienst (AID);</w:t>
      </w:r>
    </w:p>
    <w:p>
      <w:r>
        <w:t>e) Dienst Landelijk Gebied (DLG);</w:t>
      </w:r>
    </w:p>
    <w:p>
      <w:r>
        <w:t>f) Voedsel en Waren Autoriteit (VWA);</w:t>
      </w:r>
    </w:p>
    <w:p>
      <w:r>
        <w:t>i) Ministerie van Onderwijs, Cultuur en Wetenschappen:</w:t>
      </w:r>
    </w:p>
    <w:p>
      <w:r>
        <w:t>a) Bestuursdepartement;</w:t>
      </w:r>
    </w:p>
    <w:p>
      <w:r>
        <w:t>b) Inspectie van het Onderwijs;</w:t>
      </w:r>
    </w:p>
    <w:p>
      <w:r>
        <w:t>c) Erfgoedinspectie;</w:t>
      </w:r>
    </w:p>
    <w:p>
      <w:r>
        <w:t>d) Centrale Financiën Instellingen;</w:t>
      </w:r>
    </w:p>
    <w:p>
      <w:r>
        <w:t>e) Nationaal Archief;</w:t>
      </w:r>
    </w:p>
    <w:p>
      <w:r>
        <w:t>f) Adviesraad voor Wetenschaps- en Technologiebeleid;</w:t>
      </w:r>
    </w:p>
    <w:p>
      <w:r>
        <w:t>g) Onderwijsraad;</w:t>
      </w:r>
    </w:p>
    <w:p>
      <w:r>
        <w:t>h) Raad voor Cultuur;</w:t>
      </w:r>
    </w:p>
    <w:p>
      <w:r>
        <w:t>j) Ministerie van Sociale Zaken en Werkgelegenheid:</w:t>
      </w:r>
    </w:p>
    <w:p>
      <w:r>
        <w:t>a) Bestuursdepartement;</w:t>
      </w:r>
    </w:p>
    <w:p>
      <w:r>
        <w:t>b) Inspectie Werk en Inkomen Agentschap SZW;</w:t>
      </w:r>
    </w:p>
    <w:p>
      <w:r>
        <w:t>k) Ministerie van Verkeer en Waterstaat:</w:t>
      </w:r>
    </w:p>
    <w:p>
      <w:r>
        <w:t>a) Bestuursdepartement;</w:t>
      </w:r>
    </w:p>
    <w:p>
      <w:r>
        <w:t>b) Directoraat-Generaal Transport en Luchtvaart;</w:t>
      </w:r>
    </w:p>
    <w:p>
      <w:r>
        <w:t>c) Directoraat-generaal Personenvervoer;</w:t>
      </w:r>
    </w:p>
    <w:p>
      <w:r>
        <w:t>d) Directoraat-generaal Water;</w:t>
      </w:r>
    </w:p>
    <w:p>
      <w:r>
        <w:t>e) Centrale diensten (Central Services);</w:t>
      </w:r>
    </w:p>
    <w:p>
      <w:r>
        <w:t>f) Shared services Organisatie Verkeer en Watersaat;</w:t>
      </w:r>
    </w:p>
    <w:p>
      <w:r>
        <w:t>g) Koninklijke Nederlandse Meteorologisch Instituut KNMI;</w:t>
      </w:r>
    </w:p>
    <w:p>
      <w:r>
        <w:t>h) Rijkswaterstaat, Bestuur De afzonderlijke regionale Diensten van Rijkswaterstaat (Each individual regional service of the Directorate-general of Public Works and Water Management);</w:t>
      </w:r>
    </w:p>
    <w:p>
      <w:r>
        <w:t>i) De afzonderlijke specialistische diensten van Rijkswaterstaat (Each individual specialist service of the Directorate- general of Public Works and Water Management);</w:t>
      </w:r>
    </w:p>
    <w:p>
      <w:r>
        <w:t>j) Adviesdienst Geo-Informatie en ICT;</w:t>
      </w:r>
    </w:p>
    <w:p>
      <w:r>
        <w:t>k) Adviesdienst Verkeer en Vervoer (AVV);</w:t>
      </w:r>
    </w:p>
    <w:p>
      <w:r>
        <w:t>l) Bouwdienst;</w:t>
      </w:r>
    </w:p>
    <w:p>
      <w:r>
        <w:t>(m)Corporate Dienst;</w:t>
      </w:r>
    </w:p>
    <w:p>
      <w:r>
        <w:t>n) Data ICT Dienst;</w:t>
      </w:r>
    </w:p>
    <w:p>
      <w:r>
        <w:t>o) Dienst Verkeer en Scheepvaart;</w:t>
      </w:r>
    </w:p>
    <w:p>
      <w:r>
        <w:t>p) Dienst Weg- en Waterbouwkunde (DWW);</w:t>
      </w:r>
    </w:p>
    <w:p>
      <w:r>
        <w:t>q) Rijksinstituut voor Kunst en Zee (RIKZ);</w:t>
      </w:r>
    </w:p>
    <w:p>
      <w:r>
        <w:t>r) Rijksinstituut voor Integraal Zoetwaterbeheer en Afvalwaterbehandeling (RIZA);</w:t>
      </w:r>
    </w:p>
    <w:p>
      <w:r>
        <w:t>s) Waterdienst;</w:t>
      </w:r>
    </w:p>
    <w:p>
      <w:r>
        <w:t>t) Inspectie Verkeer en Waterstaat, Hoofddirectie;</w:t>
      </w:r>
    </w:p>
    <w:p>
      <w:r>
        <w:t>u) Port state Control;</w:t>
      </w:r>
    </w:p>
    <w:p>
      <w:r>
        <w:t>v) Directie Toezichtontwikkeling Communicatie en Onderzoek (TCO);</w:t>
      </w:r>
    </w:p>
    <w:p>
      <w:r>
        <w:t>(w)Toezichthouder Beheer Eenheid Lucht;</w:t>
      </w:r>
    </w:p>
    <w:p>
      <w:r>
        <w:t>x) Toezichthouder Beheer Eenheid Water;</w:t>
      </w:r>
    </w:p>
    <w:p>
      <w:r>
        <w:t>y) Toezichthouder Beheer Eenheid Land;</w:t>
      </w:r>
    </w:p>
    <w:p>
      <w:r>
        <w:t>l) Ministerie van Volkshuisvesting, Ruimtelijke Ordening en Milieubeheer Bestuursdepartement:</w:t>
      </w:r>
    </w:p>
    <w:p>
      <w:r>
        <w:t>a) Directoraat-generaal Wonen, Wijken en Integratie;</w:t>
      </w:r>
    </w:p>
    <w:p>
      <w:r>
        <w:t>b) Directoraat-generaal Ruimte;</w:t>
      </w:r>
    </w:p>
    <w:p>
      <w:r>
        <w:t>c) Directoraat-generaal Milieubeheer;</w:t>
      </w:r>
    </w:p>
    <w:p>
      <w:r>
        <w:t>d) Rijksgebouwendienst;</w:t>
      </w:r>
    </w:p>
    <w:p>
      <w:r>
        <w:t>e) VROM Inspectie;</w:t>
      </w:r>
    </w:p>
    <w:p>
      <w:r>
        <w:t>(m)Ministerie van Volksgezondheid, Welzijn en Sport:</w:t>
      </w:r>
    </w:p>
    <w:p>
      <w:r>
        <w:t>a) Bestuursdepartement;</w:t>
      </w:r>
    </w:p>
    <w:p>
      <w:r>
        <w:t>b) Inspectie Gezondheidsbescherming, Waren en Veterinaire Zaken;</w:t>
      </w:r>
    </w:p>
    <w:p>
      <w:r>
        <w:t>c) Inspectie Gezondheidszorg;</w:t>
      </w:r>
    </w:p>
    <w:p>
      <w:r>
        <w:t>d) Inspectie Jeugdhulpverlening en Jeugdbescherming;</w:t>
      </w:r>
    </w:p>
    <w:p>
      <w:r>
        <w:t>e) Rijksinstituut voor de Volksgezondheid en Milieu (RIVM);</w:t>
      </w:r>
    </w:p>
    <w:p>
      <w:r>
        <w:t>f) Sociaal en Cultureel Planbureau;</w:t>
      </w:r>
    </w:p>
    <w:p>
      <w:r>
        <w:t>g) Agentschap t.b.v. het College ter Beoordeling van Geneesmiddelen;</w:t>
      </w:r>
    </w:p>
    <w:p>
      <w:r>
        <w:t>n) Tweede Kamer der Staten-Generaal;</w:t>
      </w:r>
    </w:p>
    <w:p>
      <w:r>
        <w:t>o) Eerste Kamer der Staten-Generaal;</w:t>
      </w:r>
    </w:p>
    <w:p>
      <w:r>
        <w:t>p) Raad van State;</w:t>
      </w:r>
    </w:p>
    <w:p>
      <w:r>
        <w:t>q) Algemene Rekenkamer;</w:t>
      </w:r>
    </w:p>
    <w:p>
      <w:r>
        <w:t>r) Nationale Ombudsman;</w:t>
      </w:r>
    </w:p>
    <w:p>
      <w:r>
        <w:t>s) Kanselarij der Nederlandse Orden;</w:t>
      </w:r>
    </w:p>
    <w:p>
      <w:r>
        <w:t>t) Kabinet der Koningin;</w:t>
      </w:r>
    </w:p>
    <w:p>
      <w:r>
        <w:t>u) Raad voor de rechtspraak en de Rechtbanken.</w:t>
      </w:r>
    </w:p>
    <w:p>
      <w:r>
        <w:t>(20) AUSTRIA</w:t>
      </w:r>
    </w:p>
    <w:p>
      <w:r>
        <w:t>a) Bundeskanzleramt;</w:t>
      </w:r>
    </w:p>
    <w:p>
      <w:r>
        <w:t>b) Bundesministerium für europäische und internationale Angelegenheiten;</w:t>
      </w:r>
    </w:p>
    <w:p>
      <w:r>
        <w:t>c) Bundesministerium für Finanzen;</w:t>
      </w:r>
    </w:p>
    <w:p>
      <w:r>
        <w:t>d) Bundesministerium für Gesundheit, Familie und Jugend;</w:t>
      </w:r>
    </w:p>
    <w:p>
      <w:r>
        <w:t>e) Bundesministerium für Inneres Bundesministerium für Justiz;</w:t>
      </w:r>
    </w:p>
    <w:p>
      <w:r>
        <w:t>f) Bundesministerium für Landesverteidigung;</w:t>
      </w:r>
    </w:p>
    <w:p>
      <w:r>
        <w:t>g) Bundesministerium für Land- und Forstwirtschaft, Umwelt und Wasserwirtschaft;</w:t>
      </w:r>
    </w:p>
    <w:p>
      <w:r>
        <w:t>h) Bundesministerium für Soziales und Konsumentenschutz;</w:t>
      </w:r>
    </w:p>
    <w:p>
      <w:r>
        <w:t>i) Bundesministerium für Unterricht, Kunst und Kultur;</w:t>
      </w:r>
    </w:p>
    <w:p>
      <w:r>
        <w:t>j) Bundesministerium für Verkehr, Innovation und Technologie;</w:t>
      </w:r>
    </w:p>
    <w:p>
      <w:r>
        <w:t>k) Bundesministerium für Wirtschaft und Arbeit;</w:t>
      </w:r>
    </w:p>
    <w:p>
      <w:r>
        <w:t>l) Bundesministerium für Wissenschaft und Forschung;</w:t>
      </w:r>
    </w:p>
    <w:p>
      <w:r>
        <w:t>(m)Österreichische Forschungs- und Prüfzentrum Arsenal Gesellschaft m.b.H;</w:t>
      </w:r>
    </w:p>
    <w:p>
      <w:r>
        <w:t>n) Bundesbeschaffung G.m.b.H;</w:t>
      </w:r>
    </w:p>
    <w:p>
      <w:r>
        <w:t>o) Bundesrechenzentrum G.m.b.H.</w:t>
      </w:r>
    </w:p>
    <w:p>
      <w:r>
        <w:t>(21) POLAND</w:t>
      </w:r>
    </w:p>
    <w:p>
      <w:r>
        <w:t>a) Kancelaria Prezydenta RP;</w:t>
      </w:r>
    </w:p>
    <w:p>
      <w:r>
        <w:t>b) Kancelaria Sejmu RP Kancelaria Senatu RP Kancelaria Prezesa Rady Ministrów;</w:t>
      </w:r>
    </w:p>
    <w:p>
      <w:r>
        <w:t>c) Sąd Najwyższy;</w:t>
      </w:r>
    </w:p>
    <w:p>
      <w:r>
        <w:t>d) Naczelny Sąd Administracyjny;</w:t>
      </w:r>
    </w:p>
    <w:p>
      <w:r>
        <w:t>e) Wojewódzkie sądy administracyjne;</w:t>
      </w:r>
    </w:p>
    <w:p>
      <w:r>
        <w:t>f) Sądy powszechne — rejonowe, okręgowe i apelacyjne;</w:t>
      </w:r>
    </w:p>
    <w:p>
      <w:r>
        <w:t>g) Trybunał Konstytucyjny;</w:t>
      </w:r>
    </w:p>
    <w:p>
      <w:r>
        <w:t>h) Najwyższa Izba Kontroli;</w:t>
      </w:r>
    </w:p>
    <w:p>
      <w:r>
        <w:t>i) Biuro Rzecznika Praw Obywatelskich;</w:t>
      </w:r>
    </w:p>
    <w:p>
      <w:r>
        <w:t>j) Biuro Rzecznika Praw Dziecka;</w:t>
      </w:r>
    </w:p>
    <w:p>
      <w:r>
        <w:t>k) Biuro Ochrony Rządu;</w:t>
      </w:r>
    </w:p>
    <w:p>
      <w:r>
        <w:t>l) Biuro Bezpieczeństwa Narodowego;</w:t>
      </w:r>
    </w:p>
    <w:p>
      <w:r>
        <w:t>(m)Centralne Biuro Antykorupcyjne;</w:t>
      </w:r>
    </w:p>
    <w:p>
      <w:r>
        <w:t>n) Ministerstwo Pracy i Polityki Społecznej;</w:t>
      </w:r>
    </w:p>
    <w:p>
      <w:r>
        <w:t>o) Ministerstwo Finansów;</w:t>
      </w:r>
    </w:p>
    <w:p>
      <w:r>
        <w:t>p) Ministerstwo Gospodarki;</w:t>
      </w:r>
    </w:p>
    <w:p>
      <w:r>
        <w:t>q) Ministerstwo Rozwoju Regionalnego;</w:t>
      </w:r>
    </w:p>
    <w:p>
      <w:r>
        <w:t>r) Ministerstwo Kultury i Dziedzictwa Narodowego;</w:t>
      </w:r>
    </w:p>
    <w:p>
      <w:r>
        <w:t>s) Ministerstwo Edukacji Narodowej;</w:t>
      </w:r>
    </w:p>
    <w:p>
      <w:r>
        <w:t>t) Ministerstwo Obrony Narodowej;</w:t>
      </w:r>
    </w:p>
    <w:p>
      <w:r>
        <w:t>u) Ministerstwo Rolnictwa i Rozwoju Wsi Ministerstwo Skarbu Państwa;</w:t>
      </w:r>
    </w:p>
    <w:p>
      <w:r>
        <w:t>v) Ministerstwo Sprawiedliwości;</w:t>
      </w:r>
    </w:p>
    <w:p>
      <w:r>
        <w:t>(w)Ministerstwo Infrastruktury;</w:t>
      </w:r>
    </w:p>
    <w:p>
      <w:r>
        <w:t>x) Ministerstwo Nauki i Szkolnictwa Wyższego;</w:t>
      </w:r>
    </w:p>
    <w:p>
      <w:r>
        <w:t>y) Ministerstwo Środowiska;</w:t>
      </w:r>
    </w:p>
    <w:p>
      <w:r>
        <w:t>z) Ministerstwo Spraw Wewnętrznych i Administracji;</w:t>
      </w:r>
    </w:p>
    <w:p>
      <w:r>
        <w:t>(aa)Ministerstwo Spraw Zagranicznych;</w:t>
      </w:r>
    </w:p>
    <w:p>
      <w:r>
        <w:t>(bb)Ministerstwo Zdrowia;</w:t>
      </w:r>
    </w:p>
    <w:p>
      <w:r>
        <w:t>(cc)Ministerstwo Sportu i Turystyki;</w:t>
      </w:r>
    </w:p>
    <w:p>
      <w:r>
        <w:t>(dd)Urząd Komitetu Integracji Europejskiej;</w:t>
      </w:r>
    </w:p>
    <w:p>
      <w:r>
        <w:t>(ee)Urząd Patentowy Rzeczypospolitej Polskiej;</w:t>
      </w:r>
    </w:p>
    <w:p>
      <w:r>
        <w:t>(ff)Urząd Regulacji Energetyki;</w:t>
      </w:r>
    </w:p>
    <w:p>
      <w:r>
        <w:t>(gg)Urząd do Spraw Kombatantów i Osób Represjonowanych;</w:t>
      </w:r>
    </w:p>
    <w:p>
      <w:r>
        <w:t>(hh)Urząd Transportu Kolejowego;</w:t>
      </w:r>
    </w:p>
    <w:p>
      <w:r>
        <w:t>ii) Urząd Dozoru Technicznego;</w:t>
      </w:r>
    </w:p>
    <w:p>
      <w:r>
        <w:t>(jj) (Urząd Rejestracji Produktów Leczniczych, Wyrobów Medycznych i Produktów Biobójczych;</w:t>
      </w:r>
    </w:p>
    <w:p>
      <w:r>
        <w:t>(kk)Urząd do Spraw Repatriacji i Cudzoziemców Urząd Zamówień Publicznych;</w:t>
      </w:r>
    </w:p>
    <w:p>
      <w:r>
        <w:t>(ll) Urząd Ochrony Konkurencji i KonsumentówUrząd Lotnictwa Cywilnego;</w:t>
      </w:r>
    </w:p>
    <w:p>
      <w:r>
        <w:t>(mm)Urząd Komunikacji Elektronicznej;</w:t>
      </w:r>
    </w:p>
    <w:p>
      <w:r>
        <w:t>(nn)Wyższy Urząd Górniczy;</w:t>
      </w:r>
    </w:p>
    <w:p>
      <w:r>
        <w:t>(oo)Główny Urząd Miar;</w:t>
      </w:r>
    </w:p>
    <w:p>
      <w:r>
        <w:t>(pp)Główny Urząd Geodezji i Kartografii;</w:t>
      </w:r>
    </w:p>
    <w:p>
      <w:r>
        <w:t>(qq)Główny Urząd Nadzoru Budowlanego;</w:t>
      </w:r>
    </w:p>
    <w:p>
      <w:r>
        <w:t>(rr)Główny Urząd Statystyczny;</w:t>
      </w:r>
    </w:p>
    <w:p>
      <w:r>
        <w:t>(ss)Krajowa Rada Radiofonii i Telewizji;</w:t>
      </w:r>
    </w:p>
    <w:p>
      <w:r>
        <w:t>(tt) Generalny Inspektor Ochrony Danych Osobowych;</w:t>
      </w:r>
    </w:p>
    <w:p>
      <w:r>
        <w:t>(uu)Państwowa Komisja Wyborcza;</w:t>
      </w:r>
    </w:p>
    <w:p>
      <w:r>
        <w:t>(vv)Państwowa Inspekcja Pracy Rządowe Centrum Legislacji;</w:t>
      </w:r>
    </w:p>
    <w:p>
      <w:r>
        <w:t>(ww)Narodowy Fundusz Zdrowia Polska Akademia Nauk;</w:t>
      </w:r>
    </w:p>
    <w:p>
      <w:r>
        <w:t>(xx)Polskie Centrum Akredytacji;</w:t>
      </w:r>
    </w:p>
    <w:p>
      <w:r>
        <w:t>(yy)Polskie Centrum Badań i Certyfikacji;</w:t>
      </w:r>
    </w:p>
    <w:p>
      <w:r>
        <w:t>(zz)Polska Organizacja Turystyczna;</w:t>
      </w:r>
    </w:p>
    <w:p>
      <w:r>
        <w:t>(aaa)Polski Komitet Normalizacyjny;</w:t>
      </w:r>
    </w:p>
    <w:p>
      <w:r>
        <w:t>(bbb)Zakład Ubezpieczeń Społecznych;</w:t>
      </w:r>
    </w:p>
    <w:p>
      <w:r>
        <w:t>(ccc)Komisja Nadzoru Finansowego;</w:t>
      </w:r>
    </w:p>
    <w:p>
      <w:r>
        <w:t>(ddd)Naczelna Dyrekcja Archiwów Państwowych;</w:t>
      </w:r>
    </w:p>
    <w:p>
      <w:r>
        <w:t>(eee)Kasa Rolniczego Ubezpieczenia Społecznego Generalna Dyrekcja Dróg</w:t>
      </w:r>
    </w:p>
    <w:p>
      <w:r>
        <w:t>Krajowych i Autostrad;</w:t>
      </w:r>
    </w:p>
    <w:p>
      <w:r>
        <w:t>(fff)Państwowa Inspekcja Ochrony Roślin i Nasiennictwa;</w:t>
      </w:r>
    </w:p>
    <w:p>
      <w:r>
        <w:t>(ggg)Komenda Główna Państwowej Straży Pożarnej;</w:t>
      </w:r>
    </w:p>
    <w:p>
      <w:r>
        <w:t>(hhh)Komenda Główna Policji;</w:t>
      </w:r>
    </w:p>
    <w:p>
      <w:r>
        <w:t>(iii)Komenda Główna Straży Granicznej;</w:t>
      </w:r>
    </w:p>
    <w:p>
      <w:r>
        <w:t>(jjj)Inspekcja Jakości Handlowej Artykułów Rolno-Spożywczych;</w:t>
      </w:r>
    </w:p>
    <w:p>
      <w:r>
        <w:t>(kkk)Główny Inspektorat Ochrony Środowiska;</w:t>
      </w:r>
    </w:p>
    <w:p>
      <w:r>
        <w:t>(lll)Główny Inspektorat Transportu Drogowego;</w:t>
      </w:r>
    </w:p>
    <w:p>
      <w:r>
        <w:t>(mmm) Główny Inspektorat Farmaceutyczny;</w:t>
      </w:r>
    </w:p>
    <w:p>
      <w:r>
        <w:t>(nnn)Główny Inspektorat Sanitarny;</w:t>
      </w:r>
    </w:p>
    <w:p>
      <w:r>
        <w:t>(ooo)Główny Inspektorat Weterynarii;</w:t>
      </w:r>
    </w:p>
    <w:p>
      <w:r>
        <w:t>(ppp)Agencja Bezpieczeństwa Wewnętrznego;</w:t>
      </w:r>
    </w:p>
    <w:p>
      <w:r>
        <w:t>(qqq)Agencja Wywiadu;</w:t>
      </w:r>
    </w:p>
    <w:p>
      <w:r>
        <w:t>(rrr)Agencja Mienia Wojskowego;</w:t>
      </w:r>
    </w:p>
    <w:p>
      <w:r>
        <w:t>(sss)Wojskowa Agencja Mieszkaniowa;</w:t>
      </w:r>
    </w:p>
    <w:p>
      <w:r>
        <w:t>(ttt)Agencja Restrukturyzacji i Modernizacji Rolnictwa;</w:t>
      </w:r>
    </w:p>
    <w:p>
      <w:r>
        <w:t>(uuu)Agencja Rynku Rolnego;</w:t>
      </w:r>
    </w:p>
    <w:p>
      <w:r>
        <w:t>(vvv)Agencja Nieruchomości Rolnych;</w:t>
      </w:r>
    </w:p>
    <w:p>
      <w:r>
        <w:t>(www) Państwowa Agencja Atomistyki;</w:t>
      </w:r>
    </w:p>
    <w:p>
      <w:r>
        <w:t>(xxx)Polska Agencja Żeglugi Powietrznej;</w:t>
      </w:r>
    </w:p>
    <w:p>
      <w:r>
        <w:t>(yyy)Polska Agencja Rozwiązywania Problemów Alkoholowych;</w:t>
      </w:r>
    </w:p>
    <w:p>
      <w:r>
        <w:t>(zzz)Agencja Rezerw Materiałowych;</w:t>
      </w:r>
    </w:p>
    <w:p>
      <w:r>
        <w:t>(aaaa)Narodowy Bank Polski;</w:t>
      </w:r>
    </w:p>
    <w:p>
      <w:r>
        <w:t>(bbbb) Narodowy Fundusz Ochrony Środowiska i Gospodarki Wodnej;</w:t>
      </w:r>
    </w:p>
    <w:p>
      <w:r>
        <w:t>(cccc)Państwowy Fundusz Rehabilitacji Osób Niepełnosprawnych;</w:t>
      </w:r>
    </w:p>
    <w:p>
      <w:r>
        <w:t>(dddd) Instytut Pamięci Narodowej — Komisja Ścigania Zbrodni Przeciwko</w:t>
      </w:r>
    </w:p>
    <w:p>
      <w:r>
        <w:t>Narodowi Polskiemu Rada Ochrony;</w:t>
      </w:r>
    </w:p>
    <w:p>
      <w:r>
        <w:t>(eeee)Pamięci Walk i Męczeństwa;</w:t>
      </w:r>
    </w:p>
    <w:p>
      <w:r>
        <w:t>(ffff)Służba Celna Rzeczypospolitej Polskiej;</w:t>
      </w:r>
    </w:p>
    <w:p>
      <w:r>
        <w:t>(gggg) Państwowe Gospodarstwo Leśne ‘Lasy Państwowe’;</w:t>
      </w:r>
    </w:p>
    <w:p>
      <w:r>
        <w:t>(hhhh) Polska Agencja Rozwoju Przedsiębiorczości;</w:t>
      </w:r>
    </w:p>
    <w:p>
      <w:r>
        <w:t>(iiii)Urzędy wojewódzkie;</w:t>
      </w:r>
    </w:p>
    <w:p>
      <w:r>
        <w:t>(jjjj)Samodzielne Publiczne Zakłady Opieki Zdrowotnej, jeśli ich organem</w:t>
      </w:r>
    </w:p>
    <w:p>
      <w:r>
        <w:t>założycielskim jest minister, centralny organ administracji rządowej lub wojewoda.</w:t>
      </w:r>
    </w:p>
    <w:p>
      <w:r>
        <w:t>(22) PORTUGAL</w:t>
      </w:r>
    </w:p>
    <w:p>
      <w:r>
        <w:t>a) Presidência do Conselho de Ministros;</w:t>
      </w:r>
    </w:p>
    <w:p>
      <w:r>
        <w:t>b) Ministério das Finanças e da Administração Pública;</w:t>
      </w:r>
    </w:p>
    <w:p>
      <w:r>
        <w:t>c) Ministério da Defesa Nacional;</w:t>
      </w:r>
    </w:p>
    <w:p>
      <w:r>
        <w:t>d) Ministério dos Negócios Estrangeiros;</w:t>
      </w:r>
    </w:p>
    <w:p>
      <w:r>
        <w:t>e) Ministério da Administração Interna;</w:t>
      </w:r>
    </w:p>
    <w:p>
      <w:r>
        <w:t>f) Ministério da Justiça;</w:t>
      </w:r>
    </w:p>
    <w:p>
      <w:r>
        <w:t>g) Ministério da Economia e da Inovação;</w:t>
      </w:r>
    </w:p>
    <w:p>
      <w:r>
        <w:t>h) Ministério da Agricultura, Desenvolvimento Rural e Pescas;</w:t>
      </w:r>
    </w:p>
    <w:p>
      <w:r>
        <w:t>i) Ministério da Educação Ministério da Ciência, Tecnologia e do Ensino Superior;</w:t>
      </w:r>
    </w:p>
    <w:p>
      <w:r>
        <w:t>j) Ministério da Cultura;</w:t>
      </w:r>
    </w:p>
    <w:p>
      <w:r>
        <w:t>k) Ministério da Saúde;</w:t>
      </w:r>
    </w:p>
    <w:p>
      <w:r>
        <w:t>l) Ministério do Trabalho e da Solidariedade Social;</w:t>
      </w:r>
    </w:p>
    <w:p>
      <w:r>
        <w:t>(m)Ministério das Obras Públicas, Transportes e Comunicações;</w:t>
      </w:r>
    </w:p>
    <w:p>
      <w:r>
        <w:t>n) Ministério do Ambiente, do Ordenamento do Território e do Desenvolvimento Regional;</w:t>
      </w:r>
    </w:p>
    <w:p>
      <w:r>
        <w:t>o) Presidença da Republica;</w:t>
      </w:r>
    </w:p>
    <w:p>
      <w:r>
        <w:t>p) Tribunal Constitucional;</w:t>
      </w:r>
    </w:p>
    <w:p>
      <w:r>
        <w:t>q) Tribunal de Contas;</w:t>
      </w:r>
    </w:p>
    <w:p>
      <w:r>
        <w:t>r) Provedoria de Justiça.</w:t>
      </w:r>
    </w:p>
    <w:p>
      <w:r>
        <w:t>(23) ROMANIA</w:t>
      </w:r>
    </w:p>
    <w:p>
      <w:r>
        <w:t>a) Administrația Prezidențială;</w:t>
      </w:r>
    </w:p>
    <w:p>
      <w:r>
        <w:t>b) Senatul României;</w:t>
      </w:r>
    </w:p>
    <w:p>
      <w:r>
        <w:t>c) Camera Deputaților;</w:t>
      </w:r>
    </w:p>
    <w:p>
      <w:r>
        <w:t>d) Inalta Curte de Casație și Justiție;</w:t>
      </w:r>
    </w:p>
    <w:p>
      <w:r>
        <w:t>e) Curtea Constituțională;</w:t>
      </w:r>
    </w:p>
    <w:p>
      <w:r>
        <w:t>f) Consiliul Legislativ;</w:t>
      </w:r>
    </w:p>
    <w:p>
      <w:r>
        <w:t>g) Curtea de Conturi;</w:t>
      </w:r>
    </w:p>
    <w:p>
      <w:r>
        <w:t>h) Consiliul Superior al Magistraturii;</w:t>
      </w:r>
    </w:p>
    <w:p>
      <w:r>
        <w:t>i) Parchetul de pe lângă Inalta Curte de Casație și Justiție;</w:t>
      </w:r>
    </w:p>
    <w:p>
      <w:r>
        <w:t>j) Secretariatul General al Guvernului;</w:t>
      </w:r>
    </w:p>
    <w:p>
      <w:r>
        <w:t>k) Cancelaria primului ministru;</w:t>
      </w:r>
    </w:p>
    <w:p>
      <w:r>
        <w:t>l) Ministerul Afacerilor Externe;</w:t>
      </w:r>
    </w:p>
    <w:p>
      <w:r>
        <w:t>(m)Ministerul Economiei și Finanțelor;</w:t>
      </w:r>
    </w:p>
    <w:p>
      <w:r>
        <w:t>n) Ministerul Justiției;</w:t>
      </w:r>
    </w:p>
    <w:p>
      <w:r>
        <w:t>o) Ministerul Apărării;</w:t>
      </w:r>
    </w:p>
    <w:p>
      <w:r>
        <w:t>p) Ministerul Internelor și Reformei Administrative;</w:t>
      </w:r>
    </w:p>
    <w:p>
      <w:r>
        <w:t>q) Ministerul Muncii, Familiei și Egalității de Șanse;</w:t>
      </w:r>
    </w:p>
    <w:p>
      <w:r>
        <w:t>r) Ministerul pentru Intreprinderi Mici și Mijlocii, Comerț, Turism și Profesii Liberale;</w:t>
      </w:r>
    </w:p>
    <w:p>
      <w:r>
        <w:t>s) Ministerul Agriculturii și Dezvoltării Rurale;</w:t>
      </w:r>
    </w:p>
    <w:p>
      <w:r>
        <w:t>t) Ministerul Transporturilor;</w:t>
      </w:r>
    </w:p>
    <w:p>
      <w:r>
        <w:t>u) Ministerul Dezvoltării, Lucrărilor Publice și Locuinței;</w:t>
      </w:r>
    </w:p>
    <w:p>
      <w:r>
        <w:t>v) Ministerul Educației Cercetării și Tineretului;</w:t>
      </w:r>
    </w:p>
    <w:p>
      <w:r>
        <w:t>(w)Ministerul Sănătății Publice;</w:t>
      </w:r>
    </w:p>
    <w:p>
      <w:r>
        <w:t>x) Ministerul Culturii și Cultelor;</w:t>
      </w:r>
    </w:p>
    <w:p>
      <w:r>
        <w:t>y) Ministerul Comunicațiilor și Tehnologiei Informației;</w:t>
      </w:r>
    </w:p>
    <w:p>
      <w:r>
        <w:t>z) Ministerul Mediului și Dezvoltării Durabile;</w:t>
      </w:r>
    </w:p>
    <w:p>
      <w:r>
        <w:t>(aa)Serviciul Român de Informații;</w:t>
      </w:r>
    </w:p>
    <w:p>
      <w:r>
        <w:t>(bb)Serviciul de Informații Externe;</w:t>
      </w:r>
    </w:p>
    <w:p>
      <w:r>
        <w:t>(cc)Serviciul de Protecție și Pază;</w:t>
      </w:r>
    </w:p>
    <w:p>
      <w:r>
        <w:t>(dd)Serviciul de Telecomunicații Speciale;</w:t>
      </w:r>
    </w:p>
    <w:p>
      <w:r>
        <w:t>(ee)Consiliul Național al Audiovizualului;</w:t>
      </w:r>
    </w:p>
    <w:p>
      <w:r>
        <w:t>(ff)Consiliul Concurenței (CC);</w:t>
      </w:r>
    </w:p>
    <w:p>
      <w:r>
        <w:t>(gg)Direcția Națională Anticorupție;</w:t>
      </w:r>
    </w:p>
    <w:p>
      <w:r>
        <w:t>(hh)Inspectoratul General de Poliție;</w:t>
      </w:r>
    </w:p>
    <w:p>
      <w:r>
        <w:t>ii) Autoritatea Națională pentru Reglementarea și Monitorizarea Achizițiilor Publice;</w:t>
      </w:r>
    </w:p>
    <w:p>
      <w:r>
        <w:t>(jj) Consiliul Național de Soluționare a Contestațiilor;</w:t>
      </w:r>
    </w:p>
    <w:p>
      <w:r>
        <w:t>(kk)Autoritatea Națională de Reglementare pentru Serviciile Comunitare de</w:t>
      </w:r>
    </w:p>
    <w:p>
      <w:r>
        <w:t>Utilități Publice (ANRSC);</w:t>
      </w:r>
    </w:p>
    <w:p>
      <w:r>
        <w:t>(ll) Autoritatea Națională Sanitară Veterinară și pentru Siguranța Alimentelor;</w:t>
      </w:r>
    </w:p>
    <w:p>
      <w:r>
        <w:t>(mm)Autoritatea Națională pentru Protecția Consumatorilor;</w:t>
      </w:r>
    </w:p>
    <w:p>
      <w:r>
        <w:t>(nn)Autoritatea Navală Română;</w:t>
      </w:r>
    </w:p>
    <w:p>
      <w:r>
        <w:t>(oo)Autoritatea Feroviară Română;</w:t>
      </w:r>
    </w:p>
    <w:p>
      <w:r>
        <w:t>(pp)Autoritatea Rutieră Română;</w:t>
      </w:r>
    </w:p>
    <w:p>
      <w:r>
        <w:t>(qq)Autoritatea Națională pentru Protecția Drepturilor Copilului;</w:t>
      </w:r>
    </w:p>
    <w:p>
      <w:r>
        <w:t>(rr)Autoritatea Națională pentru Persoanele cu Handicap;</w:t>
      </w:r>
    </w:p>
    <w:p>
      <w:r>
        <w:t>(ss)Autoritatea Națională pentru Turism;</w:t>
      </w:r>
    </w:p>
    <w:p>
      <w:r>
        <w:t>(tt) Autoritatea Națională pentru Restituirea Proprietăților;</w:t>
      </w:r>
    </w:p>
    <w:p>
      <w:r>
        <w:t>(uu)Autoritatea Națională pentru Tineret;</w:t>
      </w:r>
    </w:p>
    <w:p>
      <w:r>
        <w:t>(vv)Autoritatea Națională pentru Cercetare Științifică;</w:t>
      </w:r>
    </w:p>
    <w:p>
      <w:r>
        <w:t>(ww)Autoritatea Națională pentru Reglementare în Comunicații și Tehnologia</w:t>
      </w:r>
    </w:p>
    <w:p>
      <w:r>
        <w:t>Informației;</w:t>
      </w:r>
    </w:p>
    <w:p>
      <w:r>
        <w:t>(xx)Autoritatea Națională pentru Serviciile Societății Informaționale;</w:t>
      </w:r>
    </w:p>
    <w:p>
      <w:r>
        <w:t>(yy)Autoritatea Electorală Permanente;</w:t>
      </w:r>
    </w:p>
    <w:p>
      <w:r>
        <w:t>(zz)Agenția pentru Strategii Guvernamentale;</w:t>
      </w:r>
    </w:p>
    <w:p>
      <w:r>
        <w:t>(aaa)Agenția Națională a Medicamentului;</w:t>
      </w:r>
    </w:p>
    <w:p>
      <w:r>
        <w:t>(bbb)Agenția Națională pentru Sport;</w:t>
      </w:r>
    </w:p>
    <w:p>
      <w:r>
        <w:t>(ccc)Agenția Națională pentru Ocuparea Forței de Muncă;</w:t>
      </w:r>
    </w:p>
    <w:p>
      <w:r>
        <w:t>(ddd)Agenția Națională de Reglementare în Domeniul Energiei;</w:t>
      </w:r>
    </w:p>
    <w:p>
      <w:r>
        <w:t>(eee)Agenția Română pentru Conservarea Energiei;</w:t>
      </w:r>
    </w:p>
    <w:p>
      <w:r>
        <w:t>(fff)Agenția Națională pentru Resurse Minerale;</w:t>
      </w:r>
    </w:p>
    <w:p>
      <w:r>
        <w:t>(ggg)Agenția Română pentru Investiții Străine;</w:t>
      </w:r>
    </w:p>
    <w:p>
      <w:r>
        <w:t>(hhh)Agenția Națională pentru Întreprinderi Mici și Mijlocii și Cooperație;</w:t>
      </w:r>
    </w:p>
    <w:p>
      <w:r>
        <w:t>(iii)Agenția Națională a Funcționarilor Publici;</w:t>
      </w:r>
    </w:p>
    <w:p>
      <w:r>
        <w:t>(jjj)Agenția Națională de Administrare Fiscală;</w:t>
      </w:r>
    </w:p>
    <w:p>
      <w:r>
        <w:t>(kkk)Agenția de Compensare pentru Achiziții de Tehnică Specială;</w:t>
      </w:r>
    </w:p>
    <w:p>
      <w:r>
        <w:t>(lll)Agenția Națională Anti-doping;</w:t>
      </w:r>
    </w:p>
    <w:p>
      <w:r>
        <w:t>(mmm) Agenția Nucleară;</w:t>
      </w:r>
    </w:p>
    <w:p>
      <w:r>
        <w:t>(nnn)Agenția Națională pentru Protecția Familiei;</w:t>
      </w:r>
    </w:p>
    <w:p>
      <w:r>
        <w:t>(ooo)Agenția Națională pentru Egalitatea de Șanse între Bărbați și Femei;</w:t>
      </w:r>
    </w:p>
    <w:p>
      <w:r>
        <w:t>(ppp)Agenția Națională pentru Protecția Mediului;</w:t>
      </w:r>
    </w:p>
    <w:p>
      <w:r>
        <w:t>(qqq)Agenția națională Antidrog.</w:t>
      </w:r>
    </w:p>
    <w:p>
      <w:r>
        <w:t>(24) SLOVENIA</w:t>
      </w:r>
    </w:p>
    <w:p>
      <w:r>
        <w:t>a) Predsednik Republike Slovenije;</w:t>
      </w:r>
    </w:p>
    <w:p>
      <w:r>
        <w:t>b) Državni zbor Republike Slovenije;</w:t>
      </w:r>
    </w:p>
    <w:p>
      <w:r>
        <w:t>c) Državni svet Republike Slovenije;</w:t>
      </w:r>
    </w:p>
    <w:p>
      <w:r>
        <w:t>d) Varuh človekovih pravic;</w:t>
      </w:r>
    </w:p>
    <w:p>
      <w:r>
        <w:t>e) Ustavno sodišče Republike Slovenije;</w:t>
      </w:r>
    </w:p>
    <w:p>
      <w:r>
        <w:t>f) Računsko sodišče Republike Slovenije;</w:t>
      </w:r>
    </w:p>
    <w:p>
      <w:r>
        <w:t>g) Državna revizijska komisja za revizijo postopkov oddaje javnih naročil;</w:t>
      </w:r>
    </w:p>
    <w:p>
      <w:r>
        <w:t>h) Slovenska akademija znanosti in umetnosti;</w:t>
      </w:r>
    </w:p>
    <w:p>
      <w:r>
        <w:t>i) Vladne službe;</w:t>
      </w:r>
    </w:p>
    <w:p>
      <w:r>
        <w:t>j) Ministrstvo za finance;</w:t>
      </w:r>
    </w:p>
    <w:p>
      <w:r>
        <w:t>k) Ministrstvo za notranje zadeve;</w:t>
      </w:r>
    </w:p>
    <w:p>
      <w:r>
        <w:t>l) Ministrstvo za zunanje zadeve;</w:t>
      </w:r>
    </w:p>
    <w:p>
      <w:r>
        <w:t>(m)Ministrstvo za obrambo;</w:t>
      </w:r>
    </w:p>
    <w:p>
      <w:r>
        <w:t>n) Ministrstvo za pravosodje;</w:t>
      </w:r>
    </w:p>
    <w:p>
      <w:r>
        <w:t>o) Ministrstvo za gospodarstvo;</w:t>
      </w:r>
    </w:p>
    <w:p>
      <w:r>
        <w:t>p) Ministrstvo za kmetijstvo, gozdarstvo in prehrano;</w:t>
      </w:r>
    </w:p>
    <w:p>
      <w:r>
        <w:t>q) Ministrstvo za promet;</w:t>
      </w:r>
    </w:p>
    <w:p>
      <w:r>
        <w:t>r) Ministrstvo za okolje in prostor;</w:t>
      </w:r>
    </w:p>
    <w:p>
      <w:r>
        <w:t>s) Ministrstvo za delo, družino in socialne zadeve;</w:t>
      </w:r>
    </w:p>
    <w:p>
      <w:r>
        <w:t>t) Ministrstvo za zdravje;</w:t>
      </w:r>
    </w:p>
    <w:p>
      <w:r>
        <w:t>u) Ministrstvo za javno upravo;</w:t>
      </w:r>
    </w:p>
    <w:p>
      <w:r>
        <w:t>v) Ministrstvo za šolstvo in šport;</w:t>
      </w:r>
    </w:p>
    <w:p>
      <w:r>
        <w:t>(w)Ministrstvo za visoko šolstvo, znanost in tehnologijo;</w:t>
      </w:r>
    </w:p>
    <w:p>
      <w:r>
        <w:t>x) Ministrstvo za kulturo;</w:t>
      </w:r>
    </w:p>
    <w:p>
      <w:r>
        <w:t>y) Vrhovno sodišče Republike Slovenije višja sodišča okrožna sodišča okrajna sodišča;</w:t>
      </w:r>
    </w:p>
    <w:p>
      <w:r>
        <w:t>z) Vrhovno državno tožilstvo Republike Slovenije;</w:t>
      </w:r>
    </w:p>
    <w:p>
      <w:r>
        <w:t>(aa)Okrožna državna tožilstva;</w:t>
      </w:r>
    </w:p>
    <w:p>
      <w:r>
        <w:t>(bb)Državno pravobranilstvo;</w:t>
      </w:r>
    </w:p>
    <w:p>
      <w:r>
        <w:t>(cc)Upravno sodišče Republike Slovenije Višje delovno in socialno sodišče</w:t>
      </w:r>
    </w:p>
    <w:p>
      <w:r>
        <w:t>delovna sodišča;</w:t>
      </w:r>
    </w:p>
    <w:p>
      <w:r>
        <w:t>(dd)Davčna uprava Republike Slovenije;</w:t>
      </w:r>
    </w:p>
    <w:p>
      <w:r>
        <w:t>(ee)Carinska uprava Republike Slovenije;</w:t>
      </w:r>
    </w:p>
    <w:p>
      <w:r>
        <w:t>(ff)Urad Republike Slovenije za preprečevanje pranja denarja;</w:t>
      </w:r>
    </w:p>
    <w:p>
      <w:r>
        <w:t>(gg)Urad Republike Slovenije za nadzor prirejanja iger na srečo;</w:t>
      </w:r>
    </w:p>
    <w:p>
      <w:r>
        <w:t>(hh)Uprava Republike Slovenije za javna plačila;</w:t>
      </w:r>
    </w:p>
    <w:p>
      <w:r>
        <w:t>ii) Urad Republike Slovenije za nadzor proračuna;</w:t>
      </w:r>
    </w:p>
    <w:p>
      <w:r>
        <w:t>(jj) Policija;</w:t>
      </w:r>
    </w:p>
    <w:p>
      <w:r>
        <w:t>(kk)Inšpektorat Republike Slovenije za notranje zadeve;</w:t>
      </w:r>
    </w:p>
    <w:p>
      <w:r>
        <w:t>(ll) Generalštab Slovenske vojske;</w:t>
      </w:r>
    </w:p>
    <w:p>
      <w:r>
        <w:t>(mm)Uprava Republike Slovenije za zaščito in reševanje;</w:t>
      </w:r>
    </w:p>
    <w:p>
      <w:r>
        <w:t>(nn)Inšpektorat Republike Slovenije za obrambo;</w:t>
      </w:r>
    </w:p>
    <w:p>
      <w:r>
        <w:t>(oo)Inšpektorat Republike Slovenije za varstvo pred naravnimi in drugimi</w:t>
      </w:r>
    </w:p>
    <w:p>
      <w:r>
        <w:t>nesrečami;</w:t>
      </w:r>
    </w:p>
    <w:p>
      <w:r>
        <w:t>(pp)Uprava Republike Slovenije za izvrševanje kazenskih sankcij;</w:t>
      </w:r>
    </w:p>
    <w:p>
      <w:r>
        <w:t>(qq)Urad Republike Slovenije za varstvo konkurence;</w:t>
      </w:r>
    </w:p>
    <w:p>
      <w:r>
        <w:t>(rr)Urad Republike Slovenije za varstvo potrošnikov;</w:t>
      </w:r>
    </w:p>
    <w:p>
      <w:r>
        <w:t>(ss)Tržni inšpektorat Republike Slovenije;</w:t>
      </w:r>
    </w:p>
    <w:p>
      <w:r>
        <w:t>(tt) Urad Republike Slovenije za intelektualno lastnino;</w:t>
      </w:r>
    </w:p>
    <w:p>
      <w:r>
        <w:t>(uu)Inšpektorat Republike Slovenije za elektronske komunikacije, elektronsko</w:t>
      </w:r>
    </w:p>
    <w:p>
      <w:r>
        <w:t>podpisovanje in pošto;</w:t>
      </w:r>
    </w:p>
    <w:p>
      <w:r>
        <w:t>(vv)Inšpektorat za energetiko in rudarstvo;</w:t>
      </w:r>
    </w:p>
    <w:p>
      <w:r>
        <w:t>(ww)Agencija Republike Slovenije za kmetijske trge in razvoj podeželja;</w:t>
      </w:r>
    </w:p>
    <w:p>
      <w:r>
        <w:t>(xx)Inšpektorat Republike Slovenije za kmetijstvo, gozdarstvo in hrano;</w:t>
      </w:r>
    </w:p>
    <w:p>
      <w:r>
        <w:t>(yy)Fitosanitarna uprava Republike Slovenije;</w:t>
      </w:r>
    </w:p>
    <w:p>
      <w:r>
        <w:t>(zz)Veterinarska uprava Republike Slovenije;</w:t>
      </w:r>
    </w:p>
    <w:p>
      <w:r>
        <w:t>(aaa)Uprava Republike Slovenije za pomorstvo;</w:t>
      </w:r>
    </w:p>
    <w:p>
      <w:r>
        <w:t>(bbb)Direkcija Republike Slovenije za caste;</w:t>
      </w:r>
    </w:p>
    <w:p>
      <w:r>
        <w:t>(ccc)Prometni inšpektorat Republike Slovenije;</w:t>
      </w:r>
    </w:p>
    <w:p>
      <w:r>
        <w:t>(ddd)Direkcija za vodenje investicij v javno železniško infrastrukturo;</w:t>
      </w:r>
    </w:p>
    <w:p>
      <w:r>
        <w:t>(eee)Agencija Republike Slovenije za okolje;</w:t>
      </w:r>
    </w:p>
    <w:p>
      <w:r>
        <w:t>(fff)Geodetska uprava Republike Slovenije;</w:t>
      </w:r>
    </w:p>
    <w:p>
      <w:r>
        <w:t>(ggg)Uprava Republike Slovenije za jedrsko varstvo;</w:t>
      </w:r>
    </w:p>
    <w:p>
      <w:r>
        <w:t>(hhh)Inšpektorat Republike Slovenije za okolje in prostor;</w:t>
      </w:r>
    </w:p>
    <w:p>
      <w:r>
        <w:t>(iii)Inšpektorat Republike Slovenije za delo;</w:t>
      </w:r>
    </w:p>
    <w:p>
      <w:r>
        <w:t>(jjj)Zdravstveni inšpektorat;</w:t>
      </w:r>
    </w:p>
    <w:p>
      <w:r>
        <w:t>(kkk)Urad Republike Slovenije za kemikalije;</w:t>
      </w:r>
    </w:p>
    <w:p>
      <w:r>
        <w:t>(lll)Uprava Republike Slovenije za varstvo pred sevanji;</w:t>
      </w:r>
    </w:p>
    <w:p>
      <w:r>
        <w:t>(mmm) Urad Republike Slovenije za meroslovje;</w:t>
      </w:r>
    </w:p>
    <w:p>
      <w:r>
        <w:t>(nnn)Urad za visoko šolstvo;</w:t>
      </w:r>
    </w:p>
    <w:p>
      <w:r>
        <w:t>(ooo)Urad Republike Slovenije za mladino;</w:t>
      </w:r>
    </w:p>
    <w:p>
      <w:r>
        <w:t>(ppp)Inšpektorat Republike Slovenije za šolstvo in šport;</w:t>
      </w:r>
    </w:p>
    <w:p>
      <w:r>
        <w:t>(qqq)Arhiv Republike Slovenije;</w:t>
      </w:r>
    </w:p>
    <w:p>
      <w:r>
        <w:t>(rrr)Inšpektorat Republike Slovenije za kulturo in medije;</w:t>
      </w:r>
    </w:p>
    <w:p>
      <w:r>
        <w:t>(sss)Kabinet predsednika Vlade Republike Slovenije;</w:t>
      </w:r>
    </w:p>
    <w:p>
      <w:r>
        <w:t>(ttt)Generalni sekretariat Vlade Republike Slovenije;</w:t>
      </w:r>
    </w:p>
    <w:p>
      <w:r>
        <w:t>(uuu)Služba vlade za zakonodajo;</w:t>
      </w:r>
    </w:p>
    <w:p>
      <w:r>
        <w:t>(vvv)Služba vlade za evropske zadeve;</w:t>
      </w:r>
    </w:p>
    <w:p>
      <w:r>
        <w:t>(www) Služba vlade za lokalno samoupravo in regionalno politiko;</w:t>
      </w:r>
    </w:p>
    <w:p>
      <w:r>
        <w:t>(xxx)Urad vlade za komuniciranje;</w:t>
      </w:r>
    </w:p>
    <w:p>
      <w:r>
        <w:t>(yyy)Urad za enake možnosti;</w:t>
      </w:r>
    </w:p>
    <w:p>
      <w:r>
        <w:t>(zzz)Urad za verske skupnosti;</w:t>
      </w:r>
    </w:p>
    <w:p>
      <w:r>
        <w:t>(aaaa)Urad za narodnosti;</w:t>
      </w:r>
    </w:p>
    <w:p>
      <w:r>
        <w:t>(bbbb) Urad za makroekonomske analize in razvoj;</w:t>
      </w:r>
    </w:p>
    <w:p>
      <w:r>
        <w:t>(cccc)Statistični urad Republike Slovenije;</w:t>
      </w:r>
    </w:p>
    <w:p>
      <w:r>
        <w:t>(dddd) Slovenska obveščevalno-varnostna agencija;</w:t>
      </w:r>
    </w:p>
    <w:p>
      <w:r>
        <w:t>(eeee)Protokol Republike Slovenije;</w:t>
      </w:r>
    </w:p>
    <w:p>
      <w:r>
        <w:t>(ffff)Urad za varovanje tajnih podatkov;</w:t>
      </w:r>
    </w:p>
    <w:p>
      <w:r>
        <w:t>(gggg) Urad za Slovence v zamejstvu in po svetu;</w:t>
      </w:r>
    </w:p>
    <w:p>
      <w:r>
        <w:t>(hhhh) Služba Vlade Republike Slovenije za razvoj;</w:t>
      </w:r>
    </w:p>
    <w:p>
      <w:r>
        <w:t>(iiii)Informacijski pooblaščenec;</w:t>
      </w:r>
    </w:p>
    <w:p>
      <w:r>
        <w:t>(jjjj)Državna volilna komisija.</w:t>
      </w:r>
    </w:p>
    <w:p>
      <w:r>
        <w:t>(25) SLOVAKIA</w:t>
      </w:r>
    </w:p>
    <w:p>
      <w:r>
        <w:t>Ministries and other central government authorities as referred to in Act No. 575/2001 Coll. on the structure of activities of the Government and central state administration authorities in wording of later regulations:</w:t>
      </w:r>
    </w:p>
    <w:p>
      <w:r>
        <w:t>a) Kancelária Prezidenta Slovenskej republiky;</w:t>
      </w:r>
    </w:p>
    <w:p>
      <w:r>
        <w:t>b) Národná rada Slovenskej republiky;</w:t>
      </w:r>
    </w:p>
    <w:p>
      <w:r>
        <w:t>c) Ministerstvo hospodárstva Slovenskej republiky;</w:t>
      </w:r>
    </w:p>
    <w:p>
      <w:r>
        <w:t>d) Ministerstvo financií Slovenskej republiky;</w:t>
      </w:r>
    </w:p>
    <w:p>
      <w:r>
        <w:t>e) Ministerstvo dopravy, pôšt a telekomunikácií Slovenskej republiky;</w:t>
      </w:r>
    </w:p>
    <w:p>
      <w:r>
        <w:t>f) Ministerstvo pôdohospodárstva Slovenskej republiky;</w:t>
      </w:r>
    </w:p>
    <w:p>
      <w:r>
        <w:t>g) Ministerstvo výstavby a regionálneho rozvoja Slovenskej republiky;</w:t>
      </w:r>
    </w:p>
    <w:p>
      <w:r>
        <w:t>h) Ministerstvo vnútra Slovenskej republiky;</w:t>
      </w:r>
    </w:p>
    <w:p>
      <w:r>
        <w:t>i) Ministerstvo obrany Slovenskej republiky;</w:t>
      </w:r>
    </w:p>
    <w:p>
      <w:r>
        <w:t>j) Ministerstvo spravodlivosti Slovenskej republiky;</w:t>
      </w:r>
    </w:p>
    <w:p>
      <w:r>
        <w:t>k) Ministerstvo zahraničných vecí Slovenskej republiky;</w:t>
      </w:r>
    </w:p>
    <w:p>
      <w:r>
        <w:t>l) Ministerstvo práce, sociálnych vecí a rodiny Slovenskej republiky;</w:t>
      </w:r>
    </w:p>
    <w:p>
      <w:r>
        <w:t>(m)Ministerstvo životného prostredia Slovenskej republiky</w:t>
      </w:r>
    </w:p>
    <w:p>
      <w:r>
        <w:t>n) Ministerstvo školstva Slovenskej republiky;</w:t>
      </w:r>
    </w:p>
    <w:p>
      <w:r>
        <w:t>o) Ministerstvo kultúry Slovenskej republiky;</w:t>
      </w:r>
    </w:p>
    <w:p>
      <w:r>
        <w:t>p) Ministerstvo zdravotníctva Slovenskej republiky;</w:t>
      </w:r>
    </w:p>
    <w:p>
      <w:r>
        <w:t>q) Úrad vlády Slovenskej republiky;</w:t>
      </w:r>
    </w:p>
    <w:p>
      <w:r>
        <w:t>r) Protimonopolný úrad Slovenskej republiky;</w:t>
      </w:r>
    </w:p>
    <w:p>
      <w:r>
        <w:t>s) Štatistický úrad Slovenskej republiky;</w:t>
      </w:r>
    </w:p>
    <w:p>
      <w:r>
        <w:t>t) Úrad geodézie, kartografie a katastra Slovenskej republiky;</w:t>
      </w:r>
    </w:p>
    <w:p>
      <w:r>
        <w:t>u) Úrad jadrového dozoru Slovenskej republiky;</w:t>
      </w:r>
    </w:p>
    <w:p>
      <w:r>
        <w:t>v) Úrad pre normalizáciu, metrológiu a skúšobníctvo Slovenskej republiky;</w:t>
      </w:r>
    </w:p>
    <w:p>
      <w:r>
        <w:t>(w)Úrad pre verejné obstarávanie;</w:t>
      </w:r>
    </w:p>
    <w:p>
      <w:r>
        <w:t>x) Úrad priemyselného vlastníctva Slovenskej republiky;</w:t>
      </w:r>
    </w:p>
    <w:p>
      <w:r>
        <w:t>y) Správa štátnych hmotných rezerv Slovenskej republiky;</w:t>
      </w:r>
    </w:p>
    <w:p>
      <w:r>
        <w:t>z) Národný bezpečnostný úrad;</w:t>
      </w:r>
    </w:p>
    <w:p>
      <w:r>
        <w:t>(aa)Ústavný súd Slovenskej republiky;</w:t>
      </w:r>
    </w:p>
    <w:p>
      <w:r>
        <w:t>(bb)Najvyšši súd Slovenskej republiky;</w:t>
      </w:r>
    </w:p>
    <w:p>
      <w:r>
        <w:t>(cc)Generálna prokuratura Slovenskej republiky;</w:t>
      </w:r>
    </w:p>
    <w:p>
      <w:r>
        <w:t>(dd)Najvyšši kontrolný úrad Slovenskej republiky;</w:t>
      </w:r>
    </w:p>
    <w:p>
      <w:r>
        <w:t>(ee)Telekomunikačný úrad Slovenskej republiky;</w:t>
      </w:r>
    </w:p>
    <w:p>
      <w:r>
        <w:t>(ff)Úrad priemyselného vlastníctva Slovenskej republiky;</w:t>
      </w:r>
    </w:p>
    <w:p>
      <w:r>
        <w:t>(gg)Úrad pre finančný trh;</w:t>
      </w:r>
    </w:p>
    <w:p>
      <w:r>
        <w:t>(hh)Úrad na ochranu osobn ý ch udajov;</w:t>
      </w:r>
    </w:p>
    <w:p>
      <w:r>
        <w:t>ii) Kancelária verejneho ochranu prav.</w:t>
      </w:r>
    </w:p>
    <w:p>
      <w:r>
        <w:t>(26) FINLAND</w:t>
      </w:r>
    </w:p>
    <w:p>
      <w:r>
        <w:t>a) Oikeuskanslerinvirasto — Justitiekanslersämbetet;</w:t>
      </w:r>
    </w:p>
    <w:p>
      <w:r>
        <w:t>b) Liikenne- ja viestintäministeriö — Kommunikationsministeriet:</w:t>
      </w:r>
    </w:p>
    <w:p>
      <w:r>
        <w:t>a) Ajoneuvohallintokeskus AKE — Fordonsförvaltningscentralen AKE;</w:t>
      </w:r>
    </w:p>
    <w:p>
      <w:r>
        <w:t>b) Ilmailuhallinto — Luftfartsförvaltningen;</w:t>
      </w:r>
    </w:p>
    <w:p>
      <w:r>
        <w:t>c) Ilmatieteen laitos — Meteorologiska institutet;</w:t>
      </w:r>
    </w:p>
    <w:p>
      <w:r>
        <w:t>d) Merenkulkulaitos — Sjöfartsverket;</w:t>
      </w:r>
    </w:p>
    <w:p>
      <w:r>
        <w:t>e) Merentutkimuslaitos — Havsforskningsinstitutet;</w:t>
      </w:r>
    </w:p>
    <w:p>
      <w:r>
        <w:t>f) Ratahallintokeskus RHK — Banförvaltningscentralen RHK;</w:t>
      </w:r>
    </w:p>
    <w:p>
      <w:r>
        <w:t>g) Rautatievirasto — Järnvägsverket;</w:t>
      </w:r>
    </w:p>
    <w:p>
      <w:r>
        <w:t>h) Tiehallinto — Vägförvaltningen;</w:t>
      </w:r>
    </w:p>
    <w:p>
      <w:r>
        <w:t>i) Viestintävirasto — Kommunikationsverket;</w:t>
      </w:r>
    </w:p>
    <w:p>
      <w:r>
        <w:t>c) Maa- ja metsätalousministeriö — Jord- och skogsbruksministeriet:</w:t>
      </w:r>
    </w:p>
    <w:p>
      <w:r>
        <w:t>a) Elintarviketurvallisuusvirasto — Livsmedelssäkerhetsverket;</w:t>
      </w:r>
    </w:p>
    <w:p>
      <w:r>
        <w:t>b) Maanmittauslaitos — Lantmäteriverket;</w:t>
      </w:r>
    </w:p>
    <w:p>
      <w:r>
        <w:t>c) Maaseutuvirasto — Landsbygdsverket;</w:t>
      </w:r>
    </w:p>
    <w:p>
      <w:r>
        <w:t>d) Oikeusministeriö — Justitieministeriet:</w:t>
      </w:r>
    </w:p>
    <w:p>
      <w:r>
        <w:t>a) Tietosuojavaltuutetun toimisto — Dataombudsmannens byrå;</w:t>
      </w:r>
    </w:p>
    <w:p>
      <w:r>
        <w:t>b) Tuomioistuimet — Domstolar;</w:t>
      </w:r>
    </w:p>
    <w:p>
      <w:r>
        <w:t>c) Korkein oikeus — Högsta domstolen;</w:t>
      </w:r>
    </w:p>
    <w:p>
      <w:r>
        <w:t>d) Korkein hallinto-oikeus — Högsta förvaltningsdomstolen;</w:t>
      </w:r>
    </w:p>
    <w:p>
      <w:r>
        <w:t>e) Hovioikeudet — Hovrätter;</w:t>
      </w:r>
    </w:p>
    <w:p>
      <w:r>
        <w:t>f) Käräjäoikeudet — Tingsrätter;</w:t>
      </w:r>
    </w:p>
    <w:p>
      <w:r>
        <w:t>g) Hallinto-oikeudet –Förvaltningsdomstolar;</w:t>
      </w:r>
    </w:p>
    <w:p>
      <w:r>
        <w:t>h) Markkinaoikeus — Marknadsdomstolen;</w:t>
      </w:r>
    </w:p>
    <w:p>
      <w:r>
        <w:t>i) Työtuomioistuin — Arbetsdomstolen;</w:t>
      </w:r>
    </w:p>
    <w:p>
      <w:r>
        <w:t>j) Vakuutusoikeus — Försäkringsdomstolen;</w:t>
      </w:r>
    </w:p>
    <w:p>
      <w:r>
        <w:t>k) Kuluttajariitalautakunta — Konsumenttvistenämnden;</w:t>
      </w:r>
    </w:p>
    <w:p>
      <w:r>
        <w:t>l) Vankeinhoitolaitos — Fångvårdsväsendet;</w:t>
      </w:r>
    </w:p>
    <w:p>
      <w:r>
        <w:t>(m)HEUNI — Yhdistyneiden Kansakuntien yhteydessä toimiva Euroopan</w:t>
      </w:r>
    </w:p>
    <w:p>
      <w:r>
        <w:t>kriminaalipolitiikan instituutti — HEUNI — Europeiska institutet för kriminalpolitik, verksamt i anslutning till Förenta nationerna;</w:t>
      </w:r>
    </w:p>
    <w:p>
      <w:r>
        <w:t>n) Konkurssiasiamiehen toimisto — Konkursombudsmannens byrå;</w:t>
      </w:r>
    </w:p>
    <w:p>
      <w:r>
        <w:t>o) Kuluttajariitalautakunta — Konsumenttvistenämnden;</w:t>
      </w:r>
    </w:p>
    <w:p>
      <w:r>
        <w:t>p) Oikeushallinnon palvelukeskus — Justitieförvaltningens servicecentral;</w:t>
      </w:r>
    </w:p>
    <w:p>
      <w:r>
        <w:t>q) Oikeushallinnon tietotekniikkakeskus — Justitieförvaltningens datateknikcentral;</w:t>
      </w:r>
    </w:p>
    <w:p>
      <w:r>
        <w:t>r) Oikeuspoliittinen tutkimuslaitos (Optula) — Rättspolitiska forskningsinstitutet;</w:t>
      </w:r>
    </w:p>
    <w:p>
      <w:r>
        <w:t>s) Oikeusrekisterikeskus — Rättsregistercentralen;</w:t>
      </w:r>
    </w:p>
    <w:p>
      <w:r>
        <w:t>t) Onnettomuustutkintakeskus — Centralen för undersökning av olyckor;</w:t>
      </w:r>
    </w:p>
    <w:p>
      <w:r>
        <w:t>u) Rikosseuraamusvirasto — Brottspåföljdsverket;</w:t>
      </w:r>
    </w:p>
    <w:p>
      <w:r>
        <w:t>v) Rikosseuraamusalan koulutuskeskus — Brottspåföljdsområdets utbildningscentral;</w:t>
      </w:r>
    </w:p>
    <w:p>
      <w:r>
        <w:t>(w)Rikoksentorjuntaneuvosto — Rådet för brottsförebyggande;</w:t>
      </w:r>
    </w:p>
    <w:p>
      <w:r>
        <w:t>x) Saamelaiskäräjät — Sametinget;</w:t>
      </w:r>
    </w:p>
    <w:p>
      <w:r>
        <w:t>y) Valtakunnansyyttäjänvirasto — Riksåklagarämbetet;</w:t>
      </w:r>
    </w:p>
    <w:p>
      <w:r>
        <w:t>z) Vankeinhoitolaitos — Fångvårdsväsendet;</w:t>
      </w:r>
    </w:p>
    <w:p>
      <w:r>
        <w:t>e) Opetusministeriö — Undervisningsministeriet:</w:t>
      </w:r>
    </w:p>
    <w:p>
      <w:r>
        <w:t>a) Opetushallitus — Utbildningsstyrelsen;</w:t>
      </w:r>
    </w:p>
    <w:p>
      <w:r>
        <w:t>b) Valtion elokuvatarkastamo — Statens filmgranskningsbyrå;</w:t>
      </w:r>
    </w:p>
    <w:p>
      <w:r>
        <w:t>f) Puolustusministeriö — Försvarsministeriet:</w:t>
      </w:r>
    </w:p>
    <w:p>
      <w:r>
        <w:t>a) Puolustusvoimat — Försvarsmakten;</w:t>
      </w:r>
    </w:p>
    <w:p>
      <w:r>
        <w:t>g) Sisäasiainministeriö — Inrikesministeriet:</w:t>
      </w:r>
    </w:p>
    <w:p>
      <w:r>
        <w:t>a) Väestörekisterikeskus — Befolkningsregistercentralen;</w:t>
      </w:r>
    </w:p>
    <w:p>
      <w:r>
        <w:t>b) Keskusrikospoliisi — Centralkriminalpolisen;</w:t>
      </w:r>
    </w:p>
    <w:p>
      <w:r>
        <w:t>c) Liikkuva poliisi — Rörliga polisen;</w:t>
      </w:r>
    </w:p>
    <w:p>
      <w:r>
        <w:t>d) Rajavartiolaitos — Gränsbevakningsväsendet;</w:t>
      </w:r>
    </w:p>
    <w:p>
      <w:r>
        <w:t>e) Lääninhallitukset — Länstyrelserna;</w:t>
      </w:r>
    </w:p>
    <w:p>
      <w:r>
        <w:t>f) Suojelupoliisi — Skyddspolisen;</w:t>
      </w:r>
    </w:p>
    <w:p>
      <w:r>
        <w:t>g) Poliisiammattikorkeakoulu — Polisyrkeshögskolan;</w:t>
      </w:r>
    </w:p>
    <w:p>
      <w:r>
        <w:t>h) Poliisin tekniikkakeskus — Polisens teknikcentral;</w:t>
      </w:r>
    </w:p>
    <w:p>
      <w:r>
        <w:t>i) Poliisin tietohallintokeskus — Polisens datacentral;</w:t>
      </w:r>
    </w:p>
    <w:p>
      <w:r>
        <w:t>j) Helsingin kihlakunnan poliisilaitos — Polisinrättningen i Helsingfors;</w:t>
      </w:r>
    </w:p>
    <w:p>
      <w:r>
        <w:t>k) Pelastusopisto — Räddningsverket;</w:t>
      </w:r>
    </w:p>
    <w:p>
      <w:r>
        <w:t>l) Hätäkeskuslaitos — Nödcentralsverket;</w:t>
      </w:r>
    </w:p>
    <w:p>
      <w:r>
        <w:t>(m)Maahanmuuttovirasto — Migrationsverket;</w:t>
      </w:r>
    </w:p>
    <w:p>
      <w:r>
        <w:t>n) Sisäasiainhallinnon palvelukeskus — Inrikesförvaltningens servicecentral;</w:t>
      </w:r>
    </w:p>
    <w:p>
      <w:r>
        <w:t>o) Sosiaali- ja terveysministeriö — Social- och hälsovårdsministeriet;</w:t>
      </w:r>
    </w:p>
    <w:p>
      <w:r>
        <w:t>p) Työttömyysturvan muutoksenhakulautakunta — Besvärsnämnden för utkomstskyddsärenden;</w:t>
      </w:r>
    </w:p>
    <w:p>
      <w:r>
        <w:t>q) Sosiaaliturvan muutoksenhakulautakunta — Besvärsnämnden för social trygghet;</w:t>
      </w:r>
    </w:p>
    <w:p>
      <w:r>
        <w:t>r) Lääkelaitos — Läkemedelsverket;</w:t>
      </w:r>
    </w:p>
    <w:p>
      <w:r>
        <w:t>s) Terveydenhuollon oikeusturvakeskus — Rättsskyddscentralen för hälsovården;</w:t>
      </w:r>
    </w:p>
    <w:p>
      <w:r>
        <w:t>t) Säteilyturvakeskus — Strålsäkerhetscentralen;</w:t>
      </w:r>
    </w:p>
    <w:p>
      <w:r>
        <w:t>u) Kansanterveyslaitos — Folkhälsoinstitutet;</w:t>
      </w:r>
    </w:p>
    <w:p>
      <w:r>
        <w:t>v) Lääkehoidon kehittämiskeskus ROHTO — Utvecklingscentralen för läkemedelsbe-handling;</w:t>
      </w:r>
    </w:p>
    <w:p>
      <w:r>
        <w:t>(w)Sosiaali- ja terveydenhuollon tuotevalvontakeskus — Social- och</w:t>
      </w:r>
    </w:p>
    <w:p>
      <w:r>
        <w:t>hälsovårdens produkttillsynscentral;</w:t>
      </w:r>
    </w:p>
    <w:p>
      <w:r>
        <w:t>x) Sosiaali- ja terveysalan tutkimus- ja kehittämiskeskus Stakes — Forsknings- och utvecklingscentralen för social- och hälsovården Stakes;</w:t>
      </w:r>
    </w:p>
    <w:p>
      <w:r>
        <w:t>y) Vakuutusvalvontavirasto — Försäkringsinspektionen;</w:t>
      </w:r>
    </w:p>
    <w:p>
      <w:r>
        <w:t>z) Työ- ja elinkeinoministeriö — Arbets- och näringsministeriet;</w:t>
      </w:r>
    </w:p>
    <w:p>
      <w:r>
        <w:t>(aa)Kuluttajavirasto — Konsumentverket;</w:t>
      </w:r>
    </w:p>
    <w:p>
      <w:r>
        <w:t>(bb)Kilpailuvirasto — Konkurrensverket;</w:t>
      </w:r>
    </w:p>
    <w:p>
      <w:r>
        <w:t>(cc)Patentti- ja rekisterihallitus — Patent- och registerstyrelsen;</w:t>
      </w:r>
    </w:p>
    <w:p>
      <w:r>
        <w:t>(dd)Valtakunnansovittelijain toimisto — Riksförlikningsmännens byrå;</w:t>
      </w:r>
    </w:p>
    <w:p>
      <w:r>
        <w:t>(ee)Valtion turvapaikanhakijoiden vastaanottokeskukset – Statliga</w:t>
      </w:r>
    </w:p>
    <w:p>
      <w:r>
        <w:t>förläggningar för asylsökande;</w:t>
      </w:r>
    </w:p>
    <w:p>
      <w:r>
        <w:t>(ff)Energiamarkkinavirasto - Energimarknadsverket;</w:t>
      </w:r>
    </w:p>
    <w:p>
      <w:r>
        <w:t>(gg)Geologian tutkimuskeskus — Geologiska forskningscentralen;</w:t>
      </w:r>
    </w:p>
    <w:p>
      <w:r>
        <w:t>(hh)Huoltovarmuuskeskus — Försörjningsberedskapscentralen;</w:t>
      </w:r>
    </w:p>
    <w:p>
      <w:r>
        <w:t>ii) Kuluttajatutkimuskeskus — Konsumentforskningscentralen;</w:t>
      </w:r>
    </w:p>
    <w:p>
      <w:r>
        <w:t>(jj) Matkailun edistämiskeskus (MEK) — Centralen för turistfrämjande;</w:t>
      </w:r>
    </w:p>
    <w:p>
      <w:r>
        <w:t>(kk)Mittatekniikan keskus (MIKES) — Mätteknikcentralen;</w:t>
      </w:r>
    </w:p>
    <w:p>
      <w:r>
        <w:t>(ll) Tekes — teknologian ja innovaatioiden kehittämiskeskus -Tekes — utvecklingscentralen för teknologi och innovationer;</w:t>
      </w:r>
    </w:p>
    <w:p>
      <w:r>
        <w:t>(mm)Turvatekniikan keskus (TUKES) — Säkerhetsteknikcentralen;</w:t>
      </w:r>
    </w:p>
    <w:p>
      <w:r>
        <w:t>(nn)Valtion teknillinen tutkimuskeskus (VTT) — Statens tekniska</w:t>
      </w:r>
    </w:p>
    <w:p>
      <w:r>
        <w:t>forskningscentral;</w:t>
      </w:r>
    </w:p>
    <w:p>
      <w:r>
        <w:t>(oo)Syrjintälautakunta — Nationella diskrimineringsnämnden;</w:t>
      </w:r>
    </w:p>
    <w:p>
      <w:r>
        <w:t>(pp)Työneuvosto — Arbetsrådet;</w:t>
      </w:r>
    </w:p>
    <w:p>
      <w:r>
        <w:t>(qq)Vähemmistövaltuutetun toimisto — Minoritetsombudsmannens byrå;</w:t>
      </w:r>
    </w:p>
    <w:p>
      <w:r>
        <w:t>h) Ulkoasiainministeriö — Utrikesministeriet;</w:t>
      </w:r>
    </w:p>
    <w:p>
      <w:r>
        <w:t>i) Valtioneuvoston kanslia — Statsrådets kansli;</w:t>
      </w:r>
    </w:p>
    <w:p>
      <w:r>
        <w:t>j) Valtiovarainministeriö — Finansministeriet:</w:t>
      </w:r>
    </w:p>
    <w:p>
      <w:r>
        <w:t>a) Valtiokonttori — Statskontoret;</w:t>
      </w:r>
    </w:p>
    <w:p>
      <w:r>
        <w:t>b) Verohallinto — Skatteförvaltningen;</w:t>
      </w:r>
    </w:p>
    <w:p>
      <w:r>
        <w:t>c) Tullilaitos — Tullverket;</w:t>
      </w:r>
    </w:p>
    <w:p>
      <w:r>
        <w:t>d) Tilastokeskus — Statistikcentralen;</w:t>
      </w:r>
    </w:p>
    <w:p>
      <w:r>
        <w:t>e) Valtion taloudellinen tutkimuskeskus — Statens ekonomiska forskningscentral;</w:t>
      </w:r>
    </w:p>
    <w:p>
      <w:r>
        <w:t>k) Ympäristöministeriö — Miljöministeriet:</w:t>
      </w:r>
    </w:p>
    <w:p>
      <w:r>
        <w:t>a) Suomen ympäristökeskus — Finlands miljöcentral;</w:t>
      </w:r>
    </w:p>
    <w:p>
      <w:r>
        <w:t>b) Asumisen rahoitus- ja kehityskeskus — Finansierings- och utvecklingscentralen för boendet Valtiontalouden tarkastusvirasto — Statens revisionsverk.</w:t>
      </w:r>
    </w:p>
    <w:p>
      <w:r>
        <w:t>(27) SWEDEN</w:t>
      </w:r>
    </w:p>
    <w:p>
      <w:r>
        <w:t>A:</w:t>
      </w:r>
    </w:p>
    <w:p>
      <w:r>
        <w:t>a) Affärsverket svenska kraftnät;</w:t>
      </w:r>
    </w:p>
    <w:p>
      <w:r>
        <w:t>b) Akademien för de fria konsterna;</w:t>
      </w:r>
    </w:p>
    <w:p>
      <w:r>
        <w:t>c) Alkohol- och läkemedelssortiments-nämnden;</w:t>
      </w:r>
    </w:p>
    <w:p>
      <w:r>
        <w:t>d) Allmänna pensionsfonden;</w:t>
      </w:r>
    </w:p>
    <w:p>
      <w:r>
        <w:t>e) Allmänna reklamationsnämnden;</w:t>
      </w:r>
    </w:p>
    <w:p>
      <w:r>
        <w:t>f) Ambassader;</w:t>
      </w:r>
    </w:p>
    <w:p>
      <w:r>
        <w:t>g) Ansvarsnämnd, statens;</w:t>
      </w:r>
    </w:p>
    <w:p>
      <w:r>
        <w:t>h) Arbetsdomstolen;</w:t>
      </w:r>
    </w:p>
    <w:p>
      <w:r>
        <w:t>i) Arbetsförmedlingen;</w:t>
      </w:r>
    </w:p>
    <w:p>
      <w:r>
        <w:t>j) Arbetsgivarverk, statens;</w:t>
      </w:r>
    </w:p>
    <w:p>
      <w:r>
        <w:t>k) Arbetslivsinstitutet;</w:t>
      </w:r>
    </w:p>
    <w:p>
      <w:r>
        <w:t>l) Arbetsmiljöverket;</w:t>
      </w:r>
    </w:p>
    <w:p>
      <w:r>
        <w:t>(m)Arkitekturmuseet;</w:t>
      </w:r>
    </w:p>
    <w:p>
      <w:r>
        <w:t>n) Arrendenämnder;</w:t>
      </w:r>
    </w:p>
    <w:p>
      <w:r>
        <w:t>o) Arvsfondsdelegationen;</w:t>
      </w:r>
    </w:p>
    <w:p>
      <w:r>
        <w:t>p) Arvsfondsdelegationen;</w:t>
      </w:r>
    </w:p>
    <w:p>
      <w:r>
        <w:t>B:</w:t>
      </w:r>
    </w:p>
    <w:p>
      <w:r>
        <w:t>a) Banverket;</w:t>
      </w:r>
    </w:p>
    <w:p>
      <w:r>
        <w:t>b) Barnombudsmannen;</w:t>
      </w:r>
    </w:p>
    <w:p>
      <w:r>
        <w:t>c) Beredning för utvärdering av medicinsk metodik, statens;</w:t>
      </w:r>
    </w:p>
    <w:p>
      <w:r>
        <w:t>d) Bergsstaten;</w:t>
      </w:r>
    </w:p>
    <w:p>
      <w:r>
        <w:t>e) Biografbyrå, statens;</w:t>
      </w:r>
    </w:p>
    <w:p>
      <w:r>
        <w:t>f) Biografiskt lexikon, svenskt;</w:t>
      </w:r>
    </w:p>
    <w:p>
      <w:r>
        <w:t>g) Birgittaskolan;</w:t>
      </w:r>
    </w:p>
    <w:p>
      <w:r>
        <w:t>h) Blekinge tekniska högskola;</w:t>
      </w:r>
    </w:p>
    <w:p>
      <w:r>
        <w:t>i) Bokföringsnämnden;</w:t>
      </w:r>
    </w:p>
    <w:p>
      <w:r>
        <w:t>j) Bolagsverket;</w:t>
      </w:r>
    </w:p>
    <w:p>
      <w:r>
        <w:t>k) Bostadsnämnd, statens;</w:t>
      </w:r>
    </w:p>
    <w:p>
      <w:r>
        <w:t>l) Bostadskreditnämnd, statens;</w:t>
      </w:r>
    </w:p>
    <w:p>
      <w:r>
        <w:t>(m)Boverket;</w:t>
      </w:r>
    </w:p>
    <w:p>
      <w:r>
        <w:t>n) Brottsförebyggande rådet;</w:t>
      </w:r>
    </w:p>
    <w:p>
      <w:r>
        <w:t>o) Brottsoffermyndigheten;</w:t>
      </w:r>
    </w:p>
    <w:p>
      <w:r>
        <w:t>C:</w:t>
      </w:r>
    </w:p>
    <w:p>
      <w:r>
        <w:t>a) Centrala studiestödsnämnden</w:t>
      </w:r>
    </w:p>
    <w:p>
      <w:r>
        <w:t>D:</w:t>
      </w:r>
    </w:p>
    <w:p>
      <w:r>
        <w:t>a) Danshögskolan;</w:t>
      </w:r>
    </w:p>
    <w:p>
      <w:r>
        <w:t>b) Datainspektionen;</w:t>
      </w:r>
    </w:p>
    <w:p>
      <w:r>
        <w:t>c) Departementen;</w:t>
      </w:r>
    </w:p>
    <w:p>
      <w:r>
        <w:t>d) Domstolsverket;</w:t>
      </w:r>
    </w:p>
    <w:p>
      <w:r>
        <w:t>e) Dramatiska institutet;</w:t>
      </w:r>
    </w:p>
    <w:p>
      <w:r>
        <w:t>E:</w:t>
      </w:r>
    </w:p>
    <w:p>
      <w:r>
        <w:t>a) Ekeskolan;</w:t>
      </w:r>
    </w:p>
    <w:p>
      <w:r>
        <w:t>b) Ekobrottsmyndigheten;</w:t>
      </w:r>
    </w:p>
    <w:p>
      <w:r>
        <w:t>c) Ekonomistyrningsverket;</w:t>
      </w:r>
    </w:p>
    <w:p>
      <w:r>
        <w:t>d) Ekonomiska rådet;</w:t>
      </w:r>
    </w:p>
    <w:p>
      <w:r>
        <w:t>e) Elsäkerhetsverket;</w:t>
      </w:r>
    </w:p>
    <w:p>
      <w:r>
        <w:t>f) Energimarknadsinspektionen;</w:t>
      </w:r>
    </w:p>
    <w:p>
      <w:r>
        <w:t>g) Energimyndighet, statens;</w:t>
      </w:r>
    </w:p>
    <w:p>
      <w:r>
        <w:t>h) EU/FoU-rådet;</w:t>
      </w:r>
    </w:p>
    <w:p>
      <w:r>
        <w:t>i) Exportkreditnämnden;</w:t>
      </w:r>
    </w:p>
    <w:p>
      <w:r>
        <w:t>j) Exportråd, Sveriges;</w:t>
      </w:r>
    </w:p>
    <w:p>
      <w:r>
        <w:t>F:</w:t>
      </w:r>
    </w:p>
    <w:p>
      <w:r>
        <w:t>a) Fastighetsmäklarnämnden;</w:t>
      </w:r>
    </w:p>
    <w:p>
      <w:r>
        <w:t>b) Fastighetsverk, statens;</w:t>
      </w:r>
    </w:p>
    <w:p>
      <w:r>
        <w:t>c) Fideikommissnämnden;</w:t>
      </w:r>
    </w:p>
    <w:p>
      <w:r>
        <w:t>d) Finansinspektionen;</w:t>
      </w:r>
    </w:p>
    <w:p>
      <w:r>
        <w:t>e) Finanspolitiska rådet;</w:t>
      </w:r>
    </w:p>
    <w:p>
      <w:r>
        <w:t>f) Finsk-svenska gränsälvskommissionen;</w:t>
      </w:r>
    </w:p>
    <w:p>
      <w:r>
        <w:t>g) Fiskeriverket;</w:t>
      </w:r>
    </w:p>
    <w:p>
      <w:r>
        <w:t>h) Flygmedicincentrum;</w:t>
      </w:r>
    </w:p>
    <w:p>
      <w:r>
        <w:t>i) Folkhälsoinstitut, statens;</w:t>
      </w:r>
    </w:p>
    <w:p>
      <w:r>
        <w:t>j) Fonden för fukt- och mögelskador;</w:t>
      </w:r>
    </w:p>
    <w:p>
      <w:r>
        <w:t>k) Forskningsrådet för miljö, areella näringar och samhällsbyggande, Formas;</w:t>
      </w:r>
    </w:p>
    <w:p>
      <w:r>
        <w:t>l) Folke Bernadotte Akademin;</w:t>
      </w:r>
    </w:p>
    <w:p>
      <w:r>
        <w:t>(m)Forskarskattenämnden;</w:t>
      </w:r>
    </w:p>
    <w:p>
      <w:r>
        <w:t>n) Forskningsrådet för arbetsliv och socialvetenskap;</w:t>
      </w:r>
    </w:p>
    <w:p>
      <w:r>
        <w:t>o) FortifikationsverketForum för levande historia;</w:t>
      </w:r>
    </w:p>
    <w:p>
      <w:r>
        <w:t>p) Försvarets materielverk;</w:t>
      </w:r>
    </w:p>
    <w:p>
      <w:r>
        <w:t>q) Försvarets radioanstalt;</w:t>
      </w:r>
    </w:p>
    <w:p>
      <w:r>
        <w:t>r) Försvarets underrättelsenämnd;</w:t>
      </w:r>
    </w:p>
    <w:p>
      <w:r>
        <w:t>s) Försvarshistoriska museer, statens;</w:t>
      </w:r>
    </w:p>
    <w:p>
      <w:r>
        <w:t>t) Försvarshögskolan;</w:t>
      </w:r>
    </w:p>
    <w:p>
      <w:r>
        <w:t>u) Försvarsmakten;</w:t>
      </w:r>
    </w:p>
    <w:p>
      <w:r>
        <w:t>v) Försäkringskassan;</w:t>
      </w:r>
    </w:p>
    <w:p>
      <w:r>
        <w:t>G:</w:t>
      </w:r>
    </w:p>
    <w:p>
      <w:r>
        <w:t>a) Gentekniknämnden;</w:t>
      </w:r>
    </w:p>
    <w:p>
      <w:r>
        <w:t>b) Geologiska undersökning;</w:t>
      </w:r>
    </w:p>
    <w:p>
      <w:r>
        <w:t>c) Geotekniska institut, statens;</w:t>
      </w:r>
    </w:p>
    <w:p>
      <w:r>
        <w:t>d) Giftinformationscentralen;</w:t>
      </w:r>
    </w:p>
    <w:p>
      <w:r>
        <w:t>e) Glesbygdsverket;</w:t>
      </w:r>
    </w:p>
    <w:p>
      <w:r>
        <w:t>f) Grafiska institutet och institutet för högre kommunikation- och reklamutbildning;</w:t>
      </w:r>
    </w:p>
    <w:p>
      <w:r>
        <w:t>g) Granskningsnämnden för radio och TV;</w:t>
      </w:r>
    </w:p>
    <w:p>
      <w:r>
        <w:t>h) Granskningsnämnden för försvarsuppfinningar;</w:t>
      </w:r>
    </w:p>
    <w:p>
      <w:r>
        <w:t>i) Gymnastik- och Idrottshögskolan;</w:t>
      </w:r>
    </w:p>
    <w:p>
      <w:r>
        <w:t>j) Göteborgs universitet;</w:t>
      </w:r>
    </w:p>
    <w:p>
      <w:r>
        <w:t>H:</w:t>
      </w:r>
    </w:p>
    <w:p>
      <w:r>
        <w:t>a) Handelsflottans kultur- och fritidsråd;</w:t>
      </w:r>
    </w:p>
    <w:p>
      <w:r>
        <w:t>b) Handelsflottans pensionsanstalt;</w:t>
      </w:r>
    </w:p>
    <w:p>
      <w:r>
        <w:t>c) Handelssekreterare;</w:t>
      </w:r>
    </w:p>
    <w:p>
      <w:r>
        <w:t>d) Handelskamrar, auktoriserade;</w:t>
      </w:r>
    </w:p>
    <w:p>
      <w:r>
        <w:t>e) Handikappombudsmannen;</w:t>
      </w:r>
    </w:p>
    <w:p>
      <w:r>
        <w:t>f) Handikappråd, statens;</w:t>
      </w:r>
    </w:p>
    <w:p>
      <w:r>
        <w:t>g) Harpsundsnämnden;</w:t>
      </w:r>
    </w:p>
    <w:p>
      <w:r>
        <w:t>h) Haverikommission, statens;</w:t>
      </w:r>
    </w:p>
    <w:p>
      <w:r>
        <w:t>i) Historiska museer, statens;</w:t>
      </w:r>
    </w:p>
    <w:p>
      <w:r>
        <w:t>j) Hjälpmedelsinstitutet;</w:t>
      </w:r>
    </w:p>
    <w:p>
      <w:r>
        <w:t>k) Hovrätterna;</w:t>
      </w:r>
    </w:p>
    <w:p>
      <w:r>
        <w:t>l) Hyresnämnder;</w:t>
      </w:r>
    </w:p>
    <w:p>
      <w:r>
        <w:t>(m)Häktena;</w:t>
      </w:r>
    </w:p>
    <w:p>
      <w:r>
        <w:t>n) Hälso- och sjukvårdens ansvarsnämnd;</w:t>
      </w:r>
    </w:p>
    <w:p>
      <w:r>
        <w:t>o) Högskolan Dalarna;</w:t>
      </w:r>
    </w:p>
    <w:p>
      <w:r>
        <w:t>p) Högskolan i BoråsHögskolan i Gävle;</w:t>
      </w:r>
    </w:p>
    <w:p>
      <w:r>
        <w:t>q) Högskolan i Halmstad;</w:t>
      </w:r>
    </w:p>
    <w:p>
      <w:r>
        <w:t>r) Högskolan i Kalmar;</w:t>
      </w:r>
    </w:p>
    <w:p>
      <w:r>
        <w:t>s) Högskolan i Karlskrona/Ronneby;</w:t>
      </w:r>
    </w:p>
    <w:p>
      <w:r>
        <w:t>t) Högskolan i Kristianstad;</w:t>
      </w:r>
    </w:p>
    <w:p>
      <w:r>
        <w:t>u) Högskolan i Skövde;</w:t>
      </w:r>
    </w:p>
    <w:p>
      <w:r>
        <w:t>v) Högskolan i Trollhättan/Uddevalla;</w:t>
      </w:r>
    </w:p>
    <w:p>
      <w:r>
        <w:t>(w)Högskolan på Gotland;</w:t>
      </w:r>
    </w:p>
    <w:p>
      <w:r>
        <w:t>x) Högskolans avskiljandenämnd;</w:t>
      </w:r>
    </w:p>
    <w:p>
      <w:r>
        <w:t>y) Högskoleverket;</w:t>
      </w:r>
    </w:p>
    <w:p>
      <w:r>
        <w:t>z) Högsta domstolen;</w:t>
      </w:r>
    </w:p>
    <w:p>
      <w:r>
        <w:t>I:</w:t>
      </w:r>
    </w:p>
    <w:p>
      <w:r>
        <w:t>a) ILO kommittén;</w:t>
      </w:r>
    </w:p>
    <w:p>
      <w:r>
        <w:t>b) Inspektionen för arbetslöshetsförsäkringen;</w:t>
      </w:r>
    </w:p>
    <w:p>
      <w:r>
        <w:t>c) Inspektionen för strategiska produkter;</w:t>
      </w:r>
    </w:p>
    <w:p>
      <w:r>
        <w:t>d) Institut för kommunikationsanalys, statens;</w:t>
      </w:r>
    </w:p>
    <w:p>
      <w:r>
        <w:t>e) Institut för psykosocial medicin, statens;</w:t>
      </w:r>
    </w:p>
    <w:p>
      <w:r>
        <w:t>f) Institut för särskilt utbildningsstöd, statens;</w:t>
      </w:r>
    </w:p>
    <w:p>
      <w:r>
        <w:t>g) Institutet för arbetsmarknadspolitisk utvärdering;</w:t>
      </w:r>
    </w:p>
    <w:p>
      <w:r>
        <w:t>h) Institutet för rymdfysik;</w:t>
      </w:r>
    </w:p>
    <w:p>
      <w:r>
        <w:t>i) Institutet för tillväxtpolitiska studier;</w:t>
      </w:r>
    </w:p>
    <w:p>
      <w:r>
        <w:t>j) Institutionsstyrelse, statens;</w:t>
      </w:r>
    </w:p>
    <w:p>
      <w:r>
        <w:t>k) Insättningsgarantinämnden;</w:t>
      </w:r>
    </w:p>
    <w:p>
      <w:r>
        <w:t>l) Integrationsverket;</w:t>
      </w:r>
    </w:p>
    <w:p>
      <w:r>
        <w:t>(m)Internationella programkontoret för utbildningsområdet;</w:t>
      </w:r>
    </w:p>
    <w:p>
      <w:r>
        <w:t>J:</w:t>
      </w:r>
    </w:p>
    <w:p>
      <w:r>
        <w:t>a) Jordbruksverk, statens;</w:t>
      </w:r>
    </w:p>
    <w:p>
      <w:r>
        <w:t>b) Justitiekanslern;</w:t>
      </w:r>
    </w:p>
    <w:p>
      <w:r>
        <w:t>c) Jämställdhetsombudsmannen;</w:t>
      </w:r>
    </w:p>
    <w:p>
      <w:r>
        <w:t>d) Jämställdhetsnämnden;</w:t>
      </w:r>
    </w:p>
    <w:p>
      <w:r>
        <w:t>e) Järnvägar, statens;</w:t>
      </w:r>
    </w:p>
    <w:p>
      <w:r>
        <w:t>f) Järnvägsstyrelsen;</w:t>
      </w:r>
    </w:p>
    <w:p>
      <w:r>
        <w:t>K:</w:t>
      </w:r>
    </w:p>
    <w:p>
      <w:r>
        <w:t>a) Kammarkollegiet;</w:t>
      </w:r>
    </w:p>
    <w:p>
      <w:r>
        <w:t>b) Kammarrätterna;</w:t>
      </w:r>
    </w:p>
    <w:p>
      <w:r>
        <w:t>c) Karlstads universitet;</w:t>
      </w:r>
    </w:p>
    <w:p>
      <w:r>
        <w:t>d) Karolinska Institutet;</w:t>
      </w:r>
    </w:p>
    <w:p>
      <w:r>
        <w:t>e) Kemikalieinspektionen;</w:t>
      </w:r>
    </w:p>
    <w:p>
      <w:r>
        <w:t>f) Kommerskollegium;</w:t>
      </w:r>
    </w:p>
    <w:p>
      <w:r>
        <w:t>g) Konjunkturinstitutet;</w:t>
      </w:r>
    </w:p>
    <w:p>
      <w:r>
        <w:t>h) Konkurrensverket;</w:t>
      </w:r>
    </w:p>
    <w:p>
      <w:r>
        <w:t>i) Konstfack;</w:t>
      </w:r>
    </w:p>
    <w:p>
      <w:r>
        <w:t>j) Konsthögskolan;</w:t>
      </w:r>
    </w:p>
    <w:p>
      <w:r>
        <w:t>k) Konstnärsnämnden;</w:t>
      </w:r>
    </w:p>
    <w:p>
      <w:r>
        <w:t>l) Konstråd,statens;</w:t>
      </w:r>
    </w:p>
    <w:p>
      <w:r>
        <w:t>(m)Konsulat;</w:t>
      </w:r>
    </w:p>
    <w:p>
      <w:r>
        <w:t>n) Konsumentverket;</w:t>
      </w:r>
    </w:p>
    <w:p>
      <w:r>
        <w:t>o) Krigsvetenskapsakademin;</w:t>
      </w:r>
    </w:p>
    <w:p>
      <w:r>
        <w:t>p) Krigsförsäkringsnämnden;</w:t>
      </w:r>
    </w:p>
    <w:p>
      <w:r>
        <w:t>q) Kriminaltekniska laboratorium, statens;</w:t>
      </w:r>
    </w:p>
    <w:p>
      <w:r>
        <w:t>r) Kriminalvården;</w:t>
      </w:r>
    </w:p>
    <w:p>
      <w:r>
        <w:t>s) Krisberedskapsmyndigheten;</w:t>
      </w:r>
    </w:p>
    <w:p>
      <w:r>
        <w:t>t) Kristinaskolan;</w:t>
      </w:r>
    </w:p>
    <w:p>
      <w:r>
        <w:t>u) Kronofogdemyndigheten;</w:t>
      </w:r>
    </w:p>
    <w:p>
      <w:r>
        <w:t>v) Kulturråd, statens;</w:t>
      </w:r>
    </w:p>
    <w:p>
      <w:r>
        <w:t>(w)Kungl. Biblioteket;</w:t>
      </w:r>
    </w:p>
    <w:p>
      <w:r>
        <w:t>x) Kungl. Konsthögskolan;</w:t>
      </w:r>
    </w:p>
    <w:p>
      <w:r>
        <w:t>y) Kungl. Musikhögskolan i Stockholm;</w:t>
      </w:r>
    </w:p>
    <w:p>
      <w:r>
        <w:t>z) Kungl. Tekniska högskolan;</w:t>
      </w:r>
    </w:p>
    <w:p>
      <w:r>
        <w:t>(aa)Kungl. Vitterhets-, historie- och antikvitetsakademien;</w:t>
      </w:r>
    </w:p>
    <w:p>
      <w:r>
        <w:t>(bb)Kungl Vetenskapsakademin;</w:t>
      </w:r>
    </w:p>
    <w:p>
      <w:r>
        <w:t>(cc)Kustbevakningen;</w:t>
      </w:r>
    </w:p>
    <w:p>
      <w:r>
        <w:t>(dd)Kvalitets- och kompetensråd, statens;</w:t>
      </w:r>
    </w:p>
    <w:p>
      <w:r>
        <w:t>(ee)Kärnavfallsfondens styrelse;</w:t>
      </w:r>
    </w:p>
    <w:p>
      <w:r>
        <w:t>L:</w:t>
      </w:r>
    </w:p>
    <w:p>
      <w:r>
        <w:t>a) Lagrådet;</w:t>
      </w:r>
    </w:p>
    <w:p>
      <w:r>
        <w:t>b) Lantbruksuniversitet, Sveriges;</w:t>
      </w:r>
    </w:p>
    <w:p>
      <w:r>
        <w:t>c) Lantmäteriverket;</w:t>
      </w:r>
    </w:p>
    <w:p>
      <w:r>
        <w:t>d) Linköpings universitet;</w:t>
      </w:r>
    </w:p>
    <w:p>
      <w:r>
        <w:t>e) Livrustkammaren, Skoklosters slott och Hallwylska museet;</w:t>
      </w:r>
    </w:p>
    <w:p>
      <w:r>
        <w:t>f) Livsmedelsverk, statens;</w:t>
      </w:r>
    </w:p>
    <w:p>
      <w:r>
        <w:t>g) Livsmedelsekonomiska institutet;</w:t>
      </w:r>
    </w:p>
    <w:p>
      <w:r>
        <w:t>h) Ljud- och bildarkiv, statens;</w:t>
      </w:r>
    </w:p>
    <w:p>
      <w:r>
        <w:t>i) Lokala säkerhetsnämnderna vid kärnkraftverk;</w:t>
      </w:r>
    </w:p>
    <w:p>
      <w:r>
        <w:t>j) Lotteriinspektionen;</w:t>
      </w:r>
    </w:p>
    <w:p>
      <w:r>
        <w:t>k) Luftfartsverket;</w:t>
      </w:r>
    </w:p>
    <w:p>
      <w:r>
        <w:t>l) Luftfartsstyrelsen;</w:t>
      </w:r>
    </w:p>
    <w:p>
      <w:r>
        <w:t>(m)Luleå tekniska universitet;</w:t>
      </w:r>
    </w:p>
    <w:p>
      <w:r>
        <w:t>n) Lunds universitet;</w:t>
      </w:r>
    </w:p>
    <w:p>
      <w:r>
        <w:t>o) Läkemedelsverket;</w:t>
      </w:r>
    </w:p>
    <w:p>
      <w:r>
        <w:t>p) Läkemedelsförmånsnämnden;</w:t>
      </w:r>
    </w:p>
    <w:p>
      <w:r>
        <w:t>q) Länsrätterna;</w:t>
      </w:r>
    </w:p>
    <w:p>
      <w:r>
        <w:t>r) Länsstyrelserna;</w:t>
      </w:r>
    </w:p>
    <w:p>
      <w:r>
        <w:t>s) Lärarhögskolan i Stockholm;</w:t>
      </w:r>
    </w:p>
    <w:p>
      <w:r>
        <w:t>M:</w:t>
      </w:r>
    </w:p>
    <w:p>
      <w:r>
        <w:t>a) Malmö högskola;</w:t>
      </w:r>
    </w:p>
    <w:p>
      <w:r>
        <w:t>b) Manillaskolan;</w:t>
      </w:r>
    </w:p>
    <w:p>
      <w:r>
        <w:t>c) Maritima muséer, statens;</w:t>
      </w:r>
    </w:p>
    <w:p>
      <w:r>
        <w:t>d) Marknadsdomstolen;</w:t>
      </w:r>
    </w:p>
    <w:p>
      <w:r>
        <w:t>e) Medlingsinstitutet;</w:t>
      </w:r>
    </w:p>
    <w:p>
      <w:r>
        <w:t>f) Meteorologiska och hydrologiska institut, Sveriges;</w:t>
      </w:r>
    </w:p>
    <w:p>
      <w:r>
        <w:t>g) Migrationsverket;</w:t>
      </w:r>
    </w:p>
    <w:p>
      <w:r>
        <w:t>h) Militärhögskolor;</w:t>
      </w:r>
    </w:p>
    <w:p>
      <w:r>
        <w:t>i) Mittuniversitetet;</w:t>
      </w:r>
    </w:p>
    <w:p>
      <w:r>
        <w:t>j) Moderna museet;</w:t>
      </w:r>
    </w:p>
    <w:p>
      <w:r>
        <w:t>k) Museer för världskultur, statens;</w:t>
      </w:r>
    </w:p>
    <w:p>
      <w:r>
        <w:t>l) Musikaliska Akademien;</w:t>
      </w:r>
    </w:p>
    <w:p>
      <w:r>
        <w:t>(m)Musiksamlingar, statens;</w:t>
      </w:r>
    </w:p>
    <w:p>
      <w:r>
        <w:t>n) Myndigheten för handikappolitisk samordning;</w:t>
      </w:r>
    </w:p>
    <w:p>
      <w:r>
        <w:t>o) Myndigheten för internationella adoptionsfrågor;</w:t>
      </w:r>
    </w:p>
    <w:p>
      <w:r>
        <w:t>p) Myndigheten för skolutveckling;</w:t>
      </w:r>
    </w:p>
    <w:p>
      <w:r>
        <w:t>q) Myndigheten för kvalificerad yrkesutbildning;</w:t>
      </w:r>
    </w:p>
    <w:p>
      <w:r>
        <w:t>r) Myndigheten för nätverk och samarbete inom högre utbildning;</w:t>
      </w:r>
    </w:p>
    <w:p>
      <w:r>
        <w:t>s) Myndigheten för Sveriges nätuniversitet;</w:t>
      </w:r>
    </w:p>
    <w:p>
      <w:r>
        <w:t>t) Myndigheten för utländska investeringar i Sverige;</w:t>
      </w:r>
    </w:p>
    <w:p>
      <w:r>
        <w:t>u) Mälardalens högskola;</w:t>
      </w:r>
    </w:p>
    <w:p>
      <w:r>
        <w:t>N:</w:t>
      </w:r>
    </w:p>
    <w:p>
      <w:r>
        <w:t>a) Nationalmuseum;</w:t>
      </w:r>
    </w:p>
    <w:p>
      <w:r>
        <w:t>b) Nationellt centrum för flexibelt lärande;</w:t>
      </w:r>
    </w:p>
    <w:p>
      <w:r>
        <w:t>c) Naturhistoriska riksmuseet;</w:t>
      </w:r>
    </w:p>
    <w:p>
      <w:r>
        <w:t>d) Naturvårdsverket;</w:t>
      </w:r>
    </w:p>
    <w:p>
      <w:r>
        <w:t>e) Nordiska Afrikainstitutet;</w:t>
      </w:r>
    </w:p>
    <w:p>
      <w:r>
        <w:t>f) Notarienämnden;</w:t>
      </w:r>
    </w:p>
    <w:p>
      <w:r>
        <w:t>g) Nämnd för arbetstagares uppfinningar, statens;</w:t>
      </w:r>
    </w:p>
    <w:p>
      <w:r>
        <w:t>h) Nämnden för statligt stöd till trossamfund;</w:t>
      </w:r>
    </w:p>
    <w:p>
      <w:r>
        <w:t>i) Nämnden för styrelserepresentationsfrågor;</w:t>
      </w:r>
    </w:p>
    <w:p>
      <w:r>
        <w:t>j) Nämnden mot diskriminering;</w:t>
      </w:r>
    </w:p>
    <w:p>
      <w:r>
        <w:t>k) Nämnden för elektronisk förvaltning;</w:t>
      </w:r>
    </w:p>
    <w:p>
      <w:r>
        <w:t>l) Nämnden för RH anpassad utbildning;</w:t>
      </w:r>
    </w:p>
    <w:p>
      <w:r>
        <w:t>(m)Nämnden för hemslöjdsfrågor;</w:t>
      </w:r>
    </w:p>
    <w:p>
      <w:r>
        <w:t>O:</w:t>
      </w:r>
    </w:p>
    <w:p>
      <w:r>
        <w:t>a) Oljekrisnämnden;</w:t>
      </w:r>
    </w:p>
    <w:p>
      <w:r>
        <w:t>b) Ombudsmannen mot diskriminering på grund av sexuell läggning;</w:t>
      </w:r>
    </w:p>
    <w:p>
      <w:r>
        <w:t>c) Ombudsmannen mot etnisk diskriminering;</w:t>
      </w:r>
    </w:p>
    <w:p>
      <w:r>
        <w:t>d) Operahögskolan i Stockholm;</w:t>
      </w:r>
    </w:p>
    <w:p>
      <w:r>
        <w:t>P:</w:t>
      </w:r>
    </w:p>
    <w:p>
      <w:r>
        <w:t>a) Patent- och registreringsverket;</w:t>
      </w:r>
    </w:p>
    <w:p>
      <w:r>
        <w:t>b) Patentbesvärsrätten;</w:t>
      </w:r>
    </w:p>
    <w:p>
      <w:r>
        <w:t>c) Pensionsverk, statens;</w:t>
      </w:r>
    </w:p>
    <w:p>
      <w:r>
        <w:t>d) Personregisternämnd statens, SPAR-nämnden;</w:t>
      </w:r>
    </w:p>
    <w:p>
      <w:r>
        <w:t>e) Pliktverk, Totalförsvarets;</w:t>
      </w:r>
    </w:p>
    <w:p>
      <w:r>
        <w:t>f) Polarforskningssekretariatet;</w:t>
      </w:r>
    </w:p>
    <w:p>
      <w:r>
        <w:t>g) Post- och telestyrelsen;</w:t>
      </w:r>
    </w:p>
    <w:p>
      <w:r>
        <w:t>h) Premiepensionsmyndigheten;</w:t>
      </w:r>
    </w:p>
    <w:p>
      <w:r>
        <w:t>i) Presstödsnämnden;</w:t>
      </w:r>
    </w:p>
    <w:p>
      <w:r>
        <w:t>R:</w:t>
      </w:r>
    </w:p>
    <w:p>
      <w:r>
        <w:t>a) Radio- och TV–verket;</w:t>
      </w:r>
    </w:p>
    <w:p>
      <w:r>
        <w:t>b) Rederinämnden;</w:t>
      </w:r>
    </w:p>
    <w:p>
      <w:r>
        <w:t>c) Regeringskansliet;</w:t>
      </w:r>
    </w:p>
    <w:p>
      <w:r>
        <w:t>d) Regeringsrätten;</w:t>
      </w:r>
    </w:p>
    <w:p>
      <w:r>
        <w:t>e) Resegarantinämnden;</w:t>
      </w:r>
    </w:p>
    <w:p>
      <w:r>
        <w:t>f) Registernämnden;</w:t>
      </w:r>
    </w:p>
    <w:p>
      <w:r>
        <w:t>g) Revisorsnämnden;</w:t>
      </w:r>
    </w:p>
    <w:p>
      <w:r>
        <w:t>h) Riksantikvarieämbetet;</w:t>
      </w:r>
    </w:p>
    <w:p>
      <w:r>
        <w:t>i) Riksarkivet;</w:t>
      </w:r>
    </w:p>
    <w:p>
      <w:r>
        <w:t>j) Riksbanken;</w:t>
      </w:r>
    </w:p>
    <w:p>
      <w:r>
        <w:t>k) Riksdagsförvaltningen;</w:t>
      </w:r>
    </w:p>
    <w:p>
      <w:r>
        <w:t>l) Riksdagens ombudsmän;</w:t>
      </w:r>
    </w:p>
    <w:p>
      <w:r>
        <w:t>(m)Riksdagens revisorer;</w:t>
      </w:r>
    </w:p>
    <w:p>
      <w:r>
        <w:t>n) Riksgäldskontoret;</w:t>
      </w:r>
    </w:p>
    <w:p>
      <w:r>
        <w:t>o) Rikshemvärnsrådet;</w:t>
      </w:r>
    </w:p>
    <w:p>
      <w:r>
        <w:t>p) Rikspolisstyrelsen;</w:t>
      </w:r>
    </w:p>
    <w:p>
      <w:r>
        <w:t>q) Riksrevisionen;</w:t>
      </w:r>
    </w:p>
    <w:p>
      <w:r>
        <w:t>r) Rikstrafiken;</w:t>
      </w:r>
    </w:p>
    <w:p>
      <w:r>
        <w:t>s) Riksutställningar, Stiftelsen;</w:t>
      </w:r>
    </w:p>
    <w:p>
      <w:r>
        <w:t>t) Riksvärderingsnämnden;</w:t>
      </w:r>
    </w:p>
    <w:p>
      <w:r>
        <w:t>u) Rymdstyrelsen;</w:t>
      </w:r>
    </w:p>
    <w:p>
      <w:r>
        <w:t>v) Rådet för Europeiska socialfonden i Sverige;</w:t>
      </w:r>
    </w:p>
    <w:p>
      <w:r>
        <w:t>(w)Räddningsverk, statens;</w:t>
      </w:r>
    </w:p>
    <w:p>
      <w:r>
        <w:t>x) Rättshjälpsmyndigheten;</w:t>
      </w:r>
    </w:p>
    <w:p>
      <w:r>
        <w:t>y) Rättshjälpsnämnden;</w:t>
      </w:r>
    </w:p>
    <w:p>
      <w:r>
        <w:t>z) Rättsmedicinalverket;</w:t>
      </w:r>
    </w:p>
    <w:p>
      <w:r>
        <w:t>S:</w:t>
      </w:r>
    </w:p>
    <w:p>
      <w:r>
        <w:t>a) Samarbetsnämnden för statsbidrag till trossamfund;</w:t>
      </w:r>
    </w:p>
    <w:p>
      <w:r>
        <w:t>b) Sameskolstyrelsen och sameskolor;</w:t>
      </w:r>
    </w:p>
    <w:p>
      <w:r>
        <w:t>c) Sametinget;</w:t>
      </w:r>
    </w:p>
    <w:p>
      <w:r>
        <w:t>d) SIS, Standardiseringen i Sverige;</w:t>
      </w:r>
    </w:p>
    <w:p>
      <w:r>
        <w:t>e) Sjöfartsverket;</w:t>
      </w:r>
    </w:p>
    <w:p>
      <w:r>
        <w:t>f) Skatterättsnämnden;</w:t>
      </w:r>
    </w:p>
    <w:p>
      <w:r>
        <w:t>g) Skatteverket;</w:t>
      </w:r>
    </w:p>
    <w:p>
      <w:r>
        <w:t>h) Skaderegleringsnämnd, statens;</w:t>
      </w:r>
    </w:p>
    <w:p>
      <w:r>
        <w:t>i) Skiljenämnden i vissa trygghetsfrågor;</w:t>
      </w:r>
    </w:p>
    <w:p>
      <w:r>
        <w:t>j) Skogsstyrelsen;</w:t>
      </w:r>
    </w:p>
    <w:p>
      <w:r>
        <w:t>k) Skogsvårdsstyrelserna;</w:t>
      </w:r>
    </w:p>
    <w:p>
      <w:r>
        <w:t>l) Skogs och lantbruksakademien;</w:t>
      </w:r>
    </w:p>
    <w:p>
      <w:r>
        <w:t>(m)Skolverk, statens;</w:t>
      </w:r>
    </w:p>
    <w:p>
      <w:r>
        <w:t>n) Skolväsendets överklagandenämnd;</w:t>
      </w:r>
    </w:p>
    <w:p>
      <w:r>
        <w:t>o) Smittskyddsinstitutet;</w:t>
      </w:r>
    </w:p>
    <w:p>
      <w:r>
        <w:t>p) Socialstyrelsen;</w:t>
      </w:r>
    </w:p>
    <w:p>
      <w:r>
        <w:t>q) Specialpedagogiska institutet;</w:t>
      </w:r>
    </w:p>
    <w:p>
      <w:r>
        <w:t>r) Specialskolemyndigheten;</w:t>
      </w:r>
    </w:p>
    <w:p>
      <w:r>
        <w:t>s) Språk- och folkminnesinstitutet;</w:t>
      </w:r>
    </w:p>
    <w:p>
      <w:r>
        <w:t>t) Sprängämnesinspektionen;</w:t>
      </w:r>
    </w:p>
    <w:p>
      <w:r>
        <w:t>u) Statistiska centralbyrån;</w:t>
      </w:r>
    </w:p>
    <w:p>
      <w:r>
        <w:t>v) Statskontoret;</w:t>
      </w:r>
    </w:p>
    <w:p>
      <w:r>
        <w:t>(w)Stockholms universitet;</w:t>
      </w:r>
    </w:p>
    <w:p>
      <w:r>
        <w:t>x) Stockholms internationella miljöinstitut;</w:t>
      </w:r>
    </w:p>
    <w:p>
      <w:r>
        <w:t>y) Strålsäkerhetsmyndigheten;</w:t>
      </w:r>
    </w:p>
    <w:p>
      <w:r>
        <w:t>z) Styrelsen för ackreditering och teknisk kontroll;</w:t>
      </w:r>
    </w:p>
    <w:p>
      <w:r>
        <w:t>(aa)Styrelsen för internationellt utvecklingssamarbete, SIDA;</w:t>
      </w:r>
    </w:p>
    <w:p>
      <w:r>
        <w:t>(bb)Styrelsen för Samefonden;</w:t>
      </w:r>
    </w:p>
    <w:p>
      <w:r>
        <w:t>(cc)Styrelsen för psykologiskt försvar;</w:t>
      </w:r>
    </w:p>
    <w:p>
      <w:r>
        <w:t>(dd)Stängselnämnden;</w:t>
      </w:r>
    </w:p>
    <w:p>
      <w:r>
        <w:t>(ee)Svenska institutet;</w:t>
      </w:r>
    </w:p>
    <w:p>
      <w:r>
        <w:t>(ff)Svenska institutet för europapolitiska studier;</w:t>
      </w:r>
    </w:p>
    <w:p>
      <w:r>
        <w:t>(gg)Svenska ESF rådet;</w:t>
      </w:r>
    </w:p>
    <w:p>
      <w:r>
        <w:t>(hh)Svenska Unescorådet;</w:t>
      </w:r>
    </w:p>
    <w:p>
      <w:r>
        <w:t>ii) Svenska FAO kommittén;</w:t>
      </w:r>
    </w:p>
    <w:p>
      <w:r>
        <w:t>(jj) Svenska Språknämnden;</w:t>
      </w:r>
    </w:p>
    <w:p>
      <w:r>
        <w:t>(kk)Svenska Skeppshypotekskassan;</w:t>
      </w:r>
    </w:p>
    <w:p>
      <w:r>
        <w:t>(ll) Svenska institutet i Alexandria;</w:t>
      </w:r>
    </w:p>
    <w:p>
      <w:r>
        <w:t>(mm)Sveriges författarfond;</w:t>
      </w:r>
    </w:p>
    <w:p>
      <w:r>
        <w:t>(nn)Säkerhetspolisen;</w:t>
      </w:r>
    </w:p>
    <w:p>
      <w:r>
        <w:t>(oo)Säkerhets- och integritetsskyddsnämnden;</w:t>
      </w:r>
    </w:p>
    <w:p>
      <w:r>
        <w:t>(pp)Södertörns högskola;</w:t>
      </w:r>
    </w:p>
    <w:p>
      <w:r>
        <w:t>T:</w:t>
      </w:r>
    </w:p>
    <w:p>
      <w:r>
        <w:t>a) Taltidningsnämnden;</w:t>
      </w:r>
    </w:p>
    <w:p>
      <w:r>
        <w:t>b) Talboks- och punktskriftsbiblioteket;</w:t>
      </w:r>
    </w:p>
    <w:p>
      <w:r>
        <w:t>c) Teaterhögskolan i Stockholm;</w:t>
      </w:r>
    </w:p>
    <w:p>
      <w:r>
        <w:t>d) Tingsrätterna;</w:t>
      </w:r>
    </w:p>
    <w:p>
      <w:r>
        <w:t>e) Tjänstepensions och grupplivnämnd, statens;</w:t>
      </w:r>
    </w:p>
    <w:p>
      <w:r>
        <w:t>f) Tjänsteförslagsnämnden för domstolsväsendet;</w:t>
      </w:r>
    </w:p>
    <w:p>
      <w:r>
        <w:t>g) Totalförsvarets forskningsinstitut;</w:t>
      </w:r>
    </w:p>
    <w:p>
      <w:r>
        <w:t>h) Totalförsvarets pliktverk;</w:t>
      </w:r>
    </w:p>
    <w:p>
      <w:r>
        <w:t>i) Tullverket;</w:t>
      </w:r>
    </w:p>
    <w:p>
      <w:r>
        <w:t>j) Turistdelegationen;</w:t>
      </w:r>
    </w:p>
    <w:p>
      <w:r>
        <w:t>U:</w:t>
      </w:r>
    </w:p>
    <w:p>
      <w:r>
        <w:t>a) Umeå universitet;</w:t>
      </w:r>
    </w:p>
    <w:p>
      <w:r>
        <w:t>b) Ungdomsstyrelsen;</w:t>
      </w:r>
    </w:p>
    <w:p>
      <w:r>
        <w:t>c) Uppsala universitet;</w:t>
      </w:r>
    </w:p>
    <w:p>
      <w:r>
        <w:t>d) Utlandslönenämnd, statens;</w:t>
      </w:r>
    </w:p>
    <w:p>
      <w:r>
        <w:t>e) Utlänningsnämnden;</w:t>
      </w:r>
    </w:p>
    <w:p>
      <w:r>
        <w:t>f) Utrikesförvaltningens antagningsnämnd;</w:t>
      </w:r>
    </w:p>
    <w:p>
      <w:r>
        <w:t>g) Utrikesnämnden;</w:t>
      </w:r>
    </w:p>
    <w:p>
      <w:r>
        <w:t>h) Utsädeskontroll, statens;</w:t>
      </w:r>
    </w:p>
    <w:p>
      <w:r>
        <w:t>V:</w:t>
      </w:r>
    </w:p>
    <w:p>
      <w:r>
        <w:t>a) Valideringsdelegationen;</w:t>
      </w:r>
    </w:p>
    <w:p>
      <w:r>
        <w:t>b) Valmyndigheten;</w:t>
      </w:r>
    </w:p>
    <w:p>
      <w:r>
        <w:t>c) Vatten- och avloppsnämnd, statens;</w:t>
      </w:r>
    </w:p>
    <w:p>
      <w:r>
        <w:t>d) Vattenöverdomstolen;</w:t>
      </w:r>
    </w:p>
    <w:p>
      <w:r>
        <w:t>e) Verket för förvaltningsutveckling;</w:t>
      </w:r>
    </w:p>
    <w:p>
      <w:r>
        <w:t>f) Verket för högskoleservice;</w:t>
      </w:r>
    </w:p>
    <w:p>
      <w:r>
        <w:t>g) Verket för innovationssystem (VINNOVA);</w:t>
      </w:r>
    </w:p>
    <w:p>
      <w:r>
        <w:t>h) Verket för näringslivsutveckling (NUTEK);</w:t>
      </w:r>
    </w:p>
    <w:p>
      <w:r>
        <w:t>i) Vetenskapsrådet;</w:t>
      </w:r>
    </w:p>
    <w:p>
      <w:r>
        <w:t>j) Veterinärmedicinska anstalt, statens;</w:t>
      </w:r>
    </w:p>
    <w:p>
      <w:r>
        <w:t>k) Veterinära ansvarsnämnden;</w:t>
      </w:r>
    </w:p>
    <w:p>
      <w:r>
        <w:t>l) Väg- och transportforskningsinstitut, statens;</w:t>
      </w:r>
    </w:p>
    <w:p>
      <w:r>
        <w:t>(m)Vägverket;</w:t>
      </w:r>
    </w:p>
    <w:p>
      <w:r>
        <w:t>n) Vänerskolan;</w:t>
      </w:r>
    </w:p>
    <w:p>
      <w:r>
        <w:t>o) Växjö universitet;</w:t>
      </w:r>
    </w:p>
    <w:p>
      <w:r>
        <w:t>p) Växtsortnämnd, statens;</w:t>
      </w:r>
    </w:p>
    <w:p>
      <w:r>
        <w:t>Å:</w:t>
      </w:r>
    </w:p>
    <w:p>
      <w:r>
        <w:t>a) Åklagarmyndigheten;</w:t>
      </w:r>
    </w:p>
    <w:p>
      <w:r>
        <w:t>b) Åsbackaskolan;</w:t>
      </w:r>
    </w:p>
    <w:p>
      <w:r>
        <w:t>Ö:</w:t>
      </w:r>
    </w:p>
    <w:p>
      <w:r>
        <w:t>a) Örebro universitet;</w:t>
      </w:r>
    </w:p>
    <w:p>
      <w:r>
        <w:t>b) Örlogsmannasällskapet;</w:t>
      </w:r>
    </w:p>
    <w:p>
      <w:r>
        <w:t>c) Östervångsskolan;</w:t>
      </w:r>
    </w:p>
    <w:p>
      <w:r>
        <w:t>d) Överbefälhavaren;</w:t>
      </w:r>
    </w:p>
    <w:p>
      <w:r>
        <w:t>e) Överklagandenämnden för högskolan;</w:t>
      </w:r>
    </w:p>
    <w:p>
      <w:r>
        <w:t>f) Överklagandenämnden för nämndemanna-uppdrag;</w:t>
      </w:r>
    </w:p>
    <w:p>
      <w:r>
        <w:t>g) Överklagandenämnden för studiestöd;</w:t>
      </w:r>
    </w:p>
    <w:p>
      <w:r>
        <w:t>h) Överklagandenämnden för totalförsvaret.</w:t>
      </w:r>
    </w:p>
    <w:p>
      <w:pPr>
        <w:pStyle w:val="Heading1"/>
      </w:pPr>
      <w:r>
        <w:t>PRÍLOHA II</w:t>
      </w:r>
    </w:p>
    <w:p>
      <w:pPr>
        <w:pStyle w:val="Heading3"/>
        <w:jc w:val="center"/>
      </w:pPr>
      <w:r>
        <w:t>Zoznam medzinárodných dohovorov v oblasti environmentálneho, sociálneho a pracovného práva uvedených v článku 4 ods. 4, článku 50 ods. 4 a článku 55 ods. 4</w:t>
      </w:r>
    </w:p>
    <w:p>
      <w:r>
        <w:t>1. Dohovor Medzinárodnej organizácie práce (MOP) č. 87 o slobode združovania a ochrane práva odborovo sa organizovať;</w:t>
      </w:r>
    </w:p>
    <w:p>
      <w:r>
        <w:t>2. Dohovor MOP o vykonávaní práva organizovať sa a kolektívne vyjednávať č. 98,</w:t>
      </w:r>
    </w:p>
    <w:p>
      <w:r>
        <w:t>3. Dohovor MOP 29 o nútenej práci;</w:t>
      </w:r>
    </w:p>
    <w:p>
      <w:r>
        <w:t>4. Dohovor MOP o zrušení nútenej práce č. 105,</w:t>
      </w:r>
    </w:p>
    <w:p>
      <w:r>
        <w:t>5. Dohovor MOP 138 o minimálnom veku;</w:t>
      </w:r>
    </w:p>
    <w:p>
      <w:r>
        <w:t>6. Dohovor o diskriminácii (zamestnaní a povolaní) č. 111,</w:t>
      </w:r>
    </w:p>
    <w:p>
      <w:r>
        <w:t>7. Dohovor 100 o rovnakom odmeňovaní;</w:t>
      </w:r>
    </w:p>
    <w:p>
      <w:r>
        <w:t>8. Dohovor MOP 182 o najhorších formách detskej práce;</w:t>
      </w:r>
    </w:p>
    <w:p>
      <w:r>
        <w:t>9. Viedenský dohovor o ochrane ozónovej vrstvy a jeho Montrealský protokol o látkach, ktoré poškodzujú ozónovú vrstvu,</w:t>
      </w:r>
    </w:p>
    <w:p>
      <w:r>
        <w:t>10. Bazilejský dohovor o riadení pohybov nebezpečných odpadov cez hranice štátov a ich zneškodňovaní (Bazilejský dohovor),</w:t>
      </w:r>
    </w:p>
    <w:p>
      <w:r>
        <w:t>11. Štokholmský dohovor o perzistentných organických znečisťujúcich látkach,</w:t>
      </w:r>
    </w:p>
    <w:p>
      <w:r>
        <w:t>12. Rotterdamský dohovor o udeľovaní predbežného súhlasu po predchádzajúcom ohlásení na dovoz a vývoz vybraných nebezpečných chemických látok a prípravkov (UNEP/FAO), Rotterdam, 10. septembra 1998 a jeho 3 regionálne protokoly.</w:t>
      </w:r>
    </w:p>
    <w:p>
      <w:pPr>
        <w:pStyle w:val="Heading1"/>
      </w:pPr>
      <w:r>
        <w:t>PRÍLOHA III</w:t>
      </w:r>
    </w:p>
    <w:p>
      <w:r>
        <w:t>Zoznam postupov a právnych aktov Únie podľa článku 8 ods. 3 a článku 117 ods. 1</w:t>
      </w:r>
    </w:p>
    <w:p>
      <w:r>
        <w:t>Na udeľovanie povolení podľa iných právnych aktov Únie, ktoré nepredstavujú „osobitné alebo výlučné práva“ v zmysle článkov 8 a 117 tohto nariadenia, sa uplatňujú tieto postupy, ktorými sa zabezpečuje primeraná predchádzajúca transparentnosť:</w:t>
      </w:r>
    </w:p>
    <w:p>
      <w:r>
        <w:t>a) udelenie povolenia na prevádzku zariadení na zemný plyn v súlade s postupmi stanovenými v článku 8 smernice Európskeho parlamentu a Rady (EÚ) 2024/1788[1];</w:t>
      </w:r>
    </w:p>
    <w:p>
      <w:r>
        <w:t>b) povolenie alebo výzva na predkladanie ponúk na výstavbu nových zariadení na výrobu elektriny v súlade so smernicou Európskeho parlamentu a Rady (EÚ) 2019/944[2];</w:t>
      </w:r>
    </w:p>
    <w:p>
      <w:r>
        <w:t>c) udeľovanie povolení v súvislosti s poštovou službou v súlade s postupmi stanovenými v článku 9 smernice 97/67/ES;</w:t>
      </w:r>
    </w:p>
    <w:p>
      <w:r>
        <w:t>d) postup udeľovania povolenia na vykonávanie činnosti zahŕňajúcej ťažbu uhľovodíkov v súlade so smernicou Európskeho parlamentu a Rady 94/22/ES[3];</w:t>
      </w:r>
    </w:p>
    <w:p>
      <w:r>
        <w:t>e) zadanie zmluvy o službách vo verejnom záujme v zmysle nariadenia (ES) č. 1370/2007 na poskytovanie služieb vo verejnom záujme v osobnej autobusovej, električkovej, železničnej doprave alebo doprave metrom, ktoré boli zadané na základe verejnej súťaže v súlade s článkom 5 ods. 3 uvedeného nariadenia, za predpokladu, že trvanie zmluvy je v súlade s článkom 4 ods. 3 alebo článkom 4 ods. 4 uvedeného nariadenia[4].</w:t>
      </w:r>
    </w:p>
    <w:p>
      <w:r>
        <w:rPr>
          <w:sz w:val="16"/>
        </w:rPr>
        <w:t>1 Smernica Európskeho parlamentu a Rady (EÚ) 2024/1788 z 13. júna 2024 o spoločných pravidlách pre vnútorné trhy s obnoviteľným plynom, so zemným plynom a s vodíkom, ktorou sa mení smernica (EÚ) 2023/1791 a zrušuje smernica 2009/73/ES (prepracované znenie) (Ú. v. EÚ L, 2024/1788, 15.7.2024, ELI: http://data.europa.eu/eli/dir/2024/1788/oj).</w:t>
      </w:r>
    </w:p>
    <w:p>
      <w:r>
        <w:rPr>
          <w:sz w:val="16"/>
        </w:rPr>
        <w:t>2 Smernica Európskeho parlamentu a Rady (EÚ) 2019/944 z 5. júna 2019 o spoločných pravidlách pre vnútorný trh s elektrinou a o zmene smernice 2012/27/EÚ (prepracované znenie) (Ú. v. EÚ L 158, 14.6.2019, s. 125, ELI: http://data.europa.eu/eli/dir/2019/944/oj).</w:t>
      </w:r>
    </w:p>
    <w:p>
      <w:r>
        <w:rPr>
          <w:sz w:val="16"/>
        </w:rPr>
        <w:t>3 Smernica 94/22/ES Európskeho parlamentu a Rady z 30. mája 1994 o podmienkach udeľovania a používania povolení na vyhľadávanie, prieskum a ťažbu uhľovodíkov (Ú. v. ES L 164, 30.6.1994, s. 3, ELI: http://data.europa.eu/eli/dir/1994/22/oj).</w:t>
      </w:r>
    </w:p>
    <w:p>
      <w:r>
        <w:rPr>
          <w:sz w:val="16"/>
        </w:rPr>
        <w:t>4 Nariadenie Európskeho parlamentu a Rady (ES) č. 1370/2007 z 23. októbra 2007 o službách vo verejnom záujme v železničnej a cestnej osobnej doprave, ktorým sa zrušujú nariadenia Rady (EHS) č. 1191/69 a (EHS) č. 1107/70 (Ú. v. EÚ L 315, 3.12.2007, s. 1, ELI: http://data.europa.eu/eli/reg/2007/1370/oj).</w:t>
      </w:r>
    </w:p>
    <w:p>
      <w:pPr>
        <w:pStyle w:val="Heading1"/>
      </w:pPr>
      <w:r>
        <w:t>PRÍLOHA IV</w:t>
      </w:r>
    </w:p>
    <w:p>
      <w:pPr>
        <w:pStyle w:val="Heading3"/>
        <w:jc w:val="center"/>
      </w:pPr>
      <w:r>
        <w:t>Zoznam právnych aktov Únie uvedených v článku 19 ods. 4 a článku 117 ods. 2 (činnosti priamo vystavené hospodárskej súťaži)</w:t>
      </w:r>
    </w:p>
    <w:p>
      <w:r>
        <w:t>a) Preprava distribúcie plynu alebo tepla – smernica (EÚ) 2024/1788[5];</w:t>
      </w:r>
    </w:p>
    <w:p>
      <w:r>
        <w:t>b) Výroba, prenos alebo distribúcia elektriny – smernica (EÚ) 2019/944[6];</w:t>
      </w:r>
    </w:p>
    <w:p>
      <w:r>
        <w:t>c) Výroba, preprava alebo distribúcia pitnej vody – [žiadny záznam];</w:t>
      </w:r>
    </w:p>
    <w:p>
      <w:r>
        <w:t>d) Sektoroví obstarávatelia v oblasti železničných služieb:</w:t>
      </w:r>
    </w:p>
    <w:p>
      <w:r>
        <w:t>— Smernica 2012/34/[7];</w:t>
      </w:r>
    </w:p>
    <w:p>
      <w:r>
        <w:t>— Nariadenie (ES) č. 1370/2007[8];</w:t>
      </w:r>
    </w:p>
    <w:p>
      <w:r>
        <w:t>e) Sektoroví obstarávatelia v oblasti mestskej železničnej, električkovej, trolejbusovej alebo motorovej autobusovej dopravy</w:t>
      </w:r>
    </w:p>
    <w:p>
      <w:r>
        <w:t>služby – [žiadny vstup];</w:t>
      </w:r>
    </w:p>
    <w:p>
      <w:r>
        <w:t>f) Sektoroví obstarávatelia v oblasti poštových služieb – smernica 97/67/ES[9];</w:t>
      </w:r>
    </w:p>
    <w:p>
      <w:r>
        <w:t>g) Ťažba ropy alebo plynu – smernica 94/22/ES[10];</w:t>
      </w:r>
    </w:p>
    <w:p>
      <w:r>
        <w:t>h) Prieskum a ťažba uhlia alebo iných tuhých palív – [žiadny záznam];</w:t>
      </w:r>
    </w:p>
    <w:p>
      <w:r>
        <w:t>i) Sektoroví obstarávatelia v oblasti námorných alebo vnútrozemských prístavných alebo iných terminálových zariadení —</w:t>
      </w:r>
    </w:p>
    <w:p>
      <w:r>
        <w:t>[Žiadny vstup];</w:t>
      </w:r>
    </w:p>
    <w:p>
      <w:r>
        <w:t>j) Sektoroví obstarávatelia v oblasti letiskových zariadení – [žiadny záznam].</w:t>
      </w:r>
    </w:p>
    <w:p>
      <w:r>
        <w:rPr>
          <w:sz w:val="16"/>
        </w:rPr>
        <w:t>5 Smernica Európskeho parlamentu a Rady (EÚ) 2024/1788 z 13. júna 2024 o spoločných pravidlách pre vnútorné trhy s obnoviteľným plynom, so zemným plynom a s vodíkom, ktorou sa mení smernica (EÚ) 2023/1791 a zrušuje smernica 2009/73/ES (prepracované znenie) (Ú. v. EÚ L, 2024/1788, 15.7.2024, ELI: http://data.europa.eu/eli/dir/2024/1788/oj).</w:t>
      </w:r>
    </w:p>
    <w:p>
      <w:r>
        <w:rPr>
          <w:sz w:val="16"/>
        </w:rPr>
        <w:t>6 Smernica Európskeho parlamentu a Rady (EÚ) 2019/944 z 5. júna 2019 o spoločných pravidlách pre vnútorný trh s elektrinou a o zmene smernice 2012/27/EÚ (prepracované znenie) (Ú. v. EÚ L 158, 14.6.2019, s. 125, ELI: http://data.europa.eu/eli/dir/2019/944/oj).</w:t>
      </w:r>
    </w:p>
    <w:p>
      <w:r>
        <w:rPr>
          <w:sz w:val="16"/>
        </w:rPr>
        <w:t>7 Smernica Európskeho parlamentu a Rady 2012/34/EÚ z 21. novembra 2012, ktorou sa zriaďuje jednotný európsky železničný priestor (prepracované znenie) (Ú. v. EÚ L 343, 14.12.2012, s. 32, ELI: http://data.europa.eu/eli/dir/2012/34/oj).</w:t>
      </w:r>
    </w:p>
    <w:p>
      <w:r>
        <w:rPr>
          <w:sz w:val="16"/>
        </w:rPr>
        <w:t>8 Nariadenie Európskeho parlamentu a Rady (ES) č. 1370/2007 z 23. októbra 2007 o službách vo verejnom záujme v železničnej a cestnej osobnej doprave, ktorým sa zrušujú nariadenia Rady (EHS) č. 1191/69 a (EHS) č. 1107/70 (Ú. v. EÚ L 315, 3.12.2007, s. 1, ELI: http://data.europa.eu/eli/reg/2007/1370/oj).</w:t>
      </w:r>
    </w:p>
    <w:p>
      <w:r>
        <w:rPr>
          <w:sz w:val="16"/>
        </w:rPr>
        <w:t>9 Smernica Európskeho parlamentu a Rady 97/67/ES z 15. decembra 1997 o spoločných pravidlách rozvoja vnútorného trhu poštových služieb Spoločenstva a zlepšovaní kvality služieb (Ú. v. ES L 15, 21.1.1998, s. 14, ELI: http://data.europa.eu/eli/dir/1997/67/oj).</w:t>
      </w:r>
    </w:p>
    <w:p>
      <w:r>
        <w:rPr>
          <w:sz w:val="16"/>
        </w:rPr>
        <w:t>10 Smernica 94/22/ES Európskeho parlamentu a Rady z 30. mája 1994 o podmienkach udeľovania a používania povolení na vyhľadávanie, prieskum a ťažbu uhľovodíkov (Ú. v. ES L 164, 30.6.1994, s. 3, ELI: http://data.europa.eu/eli/dir/1994/22/oj).</w:t>
      </w:r>
    </w:p>
    <w:p>
      <w:pPr>
        <w:pStyle w:val="Heading1"/>
      </w:pPr>
      <w:r>
        <w:t>PRÍLOHA V</w:t>
      </w:r>
    </w:p>
    <w:p>
      <w:pPr>
        <w:pStyle w:val="Heading3"/>
        <w:jc w:val="center"/>
      </w:pPr>
      <w:r>
        <w:t>Zoznam činností uvedených v článku 6 bode 22 písm. 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Divízia</w:t>
            </w:r>
          </w:p>
        </w:tc>
        <w:tc>
          <w:tcPr>
            <w:tcW w:type="dxa" w:w="1728"/>
          </w:tcPr>
          <w:p>
            <w:r>
              <w:t>Skupina</w:t>
            </w:r>
          </w:p>
        </w:tc>
        <w:tc>
          <w:tcPr>
            <w:tcW w:type="dxa" w:w="1728"/>
          </w:tcPr>
          <w:p>
            <w:r>
              <w:t>Trieda</w:t>
            </w:r>
          </w:p>
        </w:tc>
        <w:tc>
          <w:tcPr>
            <w:tcW w:type="dxa" w:w="1728"/>
          </w:tcPr>
          <w:p>
            <w:r>
              <w:t>Kód CPV</w:t>
            </w:r>
          </w:p>
        </w:tc>
        <w:tc>
          <w:tcPr>
            <w:tcW w:type="dxa" w:w="1728"/>
          </w:tcPr>
          <w:p>
            <w:r>
              <w:t>Predmet</w:t>
            </w:r>
          </w:p>
        </w:tc>
      </w:tr>
      <w:tr>
        <w:tc>
          <w:tcPr>
            <w:tcW w:type="dxa" w:w="1728"/>
          </w:tcPr>
          <w:p>
            <w:r>
              <w:t>45</w:t>
            </w:r>
          </w:p>
        </w:tc>
        <w:tc>
          <w:tcPr>
            <w:tcW w:type="dxa" w:w="1728"/>
          </w:tcPr>
          <w:p>
            <w:r/>
          </w:p>
        </w:tc>
        <w:tc>
          <w:tcPr>
            <w:tcW w:type="dxa" w:w="1728"/>
          </w:tcPr>
          <w:p>
            <w:r/>
          </w:p>
        </w:tc>
        <w:tc>
          <w:tcPr>
            <w:tcW w:type="dxa" w:w="1728"/>
          </w:tcPr>
          <w:p>
            <w:r>
              <w:t>45000000</w:t>
            </w:r>
          </w:p>
        </w:tc>
        <w:tc>
          <w:tcPr>
            <w:tcW w:type="dxa" w:w="1728"/>
          </w:tcPr>
          <w:p>
            <w:r>
              <w:t>Stavebné práce</w:t>
            </w:r>
          </w:p>
        </w:tc>
      </w:tr>
      <w:tr>
        <w:tc>
          <w:tcPr>
            <w:tcW w:type="dxa" w:w="1728"/>
          </w:tcPr>
          <w:p>
            <w:r/>
          </w:p>
        </w:tc>
        <w:tc>
          <w:tcPr>
            <w:tcW w:type="dxa" w:w="1728"/>
          </w:tcPr>
          <w:p>
            <w:r>
              <w:t>45-1</w:t>
            </w:r>
          </w:p>
        </w:tc>
        <w:tc>
          <w:tcPr>
            <w:tcW w:type="dxa" w:w="1728"/>
          </w:tcPr>
          <w:p>
            <w:r/>
          </w:p>
        </w:tc>
        <w:tc>
          <w:tcPr>
            <w:tcW w:type="dxa" w:w="1728"/>
          </w:tcPr>
          <w:p>
            <w:r>
              <w:t>45100000</w:t>
            </w:r>
          </w:p>
        </w:tc>
        <w:tc>
          <w:tcPr>
            <w:tcW w:type="dxa" w:w="1728"/>
          </w:tcPr>
          <w:p>
            <w:r>
              <w:t>Príprava staveniska</w:t>
            </w:r>
          </w:p>
        </w:tc>
      </w:tr>
      <w:tr>
        <w:tc>
          <w:tcPr>
            <w:tcW w:type="dxa" w:w="1728"/>
          </w:tcPr>
          <w:p>
            <w:r/>
          </w:p>
        </w:tc>
        <w:tc>
          <w:tcPr>
            <w:tcW w:type="dxa" w:w="1728"/>
          </w:tcPr>
          <w:p>
            <w:r/>
          </w:p>
        </w:tc>
        <w:tc>
          <w:tcPr>
            <w:tcW w:type="dxa" w:w="1728"/>
          </w:tcPr>
          <w:p>
            <w:r>
              <w:t>45- 1-1</w:t>
            </w:r>
          </w:p>
        </w:tc>
        <w:tc>
          <w:tcPr>
            <w:tcW w:type="dxa" w:w="1728"/>
          </w:tcPr>
          <w:p>
            <w:r>
              <w:t>45110000</w:t>
            </w:r>
          </w:p>
        </w:tc>
        <w:tc>
          <w:tcPr>
            <w:tcW w:type="dxa" w:w="1728"/>
          </w:tcPr>
          <w:p>
            <w:r>
              <w:t>Búranie budov a demolačné práce a zemné práce</w:t>
            </w:r>
          </w:p>
        </w:tc>
      </w:tr>
      <w:tr>
        <w:tc>
          <w:tcPr>
            <w:tcW w:type="dxa" w:w="1728"/>
          </w:tcPr>
          <w:p>
            <w:r/>
          </w:p>
        </w:tc>
        <w:tc>
          <w:tcPr>
            <w:tcW w:type="dxa" w:w="1728"/>
          </w:tcPr>
          <w:p>
            <w:r/>
          </w:p>
        </w:tc>
        <w:tc>
          <w:tcPr>
            <w:tcW w:type="dxa" w:w="1728"/>
          </w:tcPr>
          <w:p>
            <w:r>
              <w:t>45- 1-2</w:t>
            </w:r>
          </w:p>
        </w:tc>
        <w:tc>
          <w:tcPr>
            <w:tcW w:type="dxa" w:w="1728"/>
          </w:tcPr>
          <w:p>
            <w:r>
              <w:t>45120000</w:t>
            </w:r>
          </w:p>
        </w:tc>
        <w:tc>
          <w:tcPr>
            <w:tcW w:type="dxa" w:w="1728"/>
          </w:tcPr>
          <w:p>
            <w:r>
              <w:t>Skúšobné vrtné a vŕtacie práce</w:t>
            </w:r>
          </w:p>
        </w:tc>
      </w:tr>
      <w:tr>
        <w:tc>
          <w:tcPr>
            <w:tcW w:type="dxa" w:w="1728"/>
          </w:tcPr>
          <w:p>
            <w:r/>
          </w:p>
        </w:tc>
        <w:tc>
          <w:tcPr>
            <w:tcW w:type="dxa" w:w="1728"/>
          </w:tcPr>
          <w:p>
            <w:r>
              <w:t>45-2</w:t>
            </w:r>
          </w:p>
        </w:tc>
        <w:tc>
          <w:tcPr>
            <w:tcW w:type="dxa" w:w="1728"/>
          </w:tcPr>
          <w:p>
            <w:r/>
          </w:p>
        </w:tc>
        <w:tc>
          <w:tcPr>
            <w:tcW w:type="dxa" w:w="1728"/>
          </w:tcPr>
          <w:p>
            <w:r>
              <w:t>45200000</w:t>
            </w:r>
          </w:p>
        </w:tc>
        <w:tc>
          <w:tcPr>
            <w:tcW w:type="dxa" w:w="1728"/>
          </w:tcPr>
          <w:p>
            <w:r>
              <w:t>Práce na kompletnej alebo čiastočnej stavbe a práce inžinierskych stavieb</w:t>
            </w:r>
          </w:p>
        </w:tc>
      </w:tr>
      <w:tr>
        <w:tc>
          <w:tcPr>
            <w:tcW w:type="dxa" w:w="1728"/>
          </w:tcPr>
          <w:p>
            <w:r/>
          </w:p>
        </w:tc>
        <w:tc>
          <w:tcPr>
            <w:tcW w:type="dxa" w:w="1728"/>
          </w:tcPr>
          <w:p>
            <w:r/>
          </w:p>
        </w:tc>
        <w:tc>
          <w:tcPr>
            <w:tcW w:type="dxa" w:w="1728"/>
          </w:tcPr>
          <w:p>
            <w:r>
              <w:t>45- 2-1</w:t>
            </w:r>
          </w:p>
        </w:tc>
        <w:tc>
          <w:tcPr>
            <w:tcW w:type="dxa" w:w="1728"/>
          </w:tcPr>
          <w:p>
            <w:r>
              <w:t>452100 00 Except :45220 000</w:t>
            </w:r>
          </w:p>
        </w:tc>
        <w:tc>
          <w:tcPr>
            <w:tcW w:type="dxa" w:w="1728"/>
          </w:tcPr>
          <w:p>
            <w:r>
              <w:t>Stavebné práce na stavbe budov s výnimkou: Inžinierske práce a stavebné práce;</w:t>
            </w:r>
          </w:p>
        </w:tc>
      </w:tr>
      <w:tr>
        <w:tc>
          <w:tcPr>
            <w:tcW w:type="dxa" w:w="1728"/>
          </w:tcPr>
          <w:p>
            <w:r/>
          </w:p>
        </w:tc>
        <w:tc>
          <w:tcPr>
            <w:tcW w:type="dxa" w:w="1728"/>
          </w:tcPr>
          <w:p>
            <w:r/>
          </w:p>
        </w:tc>
        <w:tc>
          <w:tcPr>
            <w:tcW w:type="dxa" w:w="1728"/>
          </w:tcPr>
          <w:p>
            <w:r>
              <w:t>45- 2-6</w:t>
            </w:r>
          </w:p>
        </w:tc>
        <w:tc>
          <w:tcPr>
            <w:tcW w:type="dxa" w:w="1728"/>
          </w:tcPr>
          <w:p>
            <w:r>
              <w:t>45261000</w:t>
            </w:r>
          </w:p>
        </w:tc>
        <w:tc>
          <w:tcPr>
            <w:tcW w:type="dxa" w:w="1728"/>
          </w:tcPr>
          <w:p>
            <w:r>
              <w:t>Montáž strešných konštrukcií a súvisiace práce a pokrývačské práce</w:t>
            </w:r>
          </w:p>
        </w:tc>
      </w:tr>
      <w:tr>
        <w:tc>
          <w:tcPr>
            <w:tcW w:type="dxa" w:w="1728"/>
          </w:tcPr>
          <w:p>
            <w:r/>
          </w:p>
        </w:tc>
        <w:tc>
          <w:tcPr>
            <w:tcW w:type="dxa" w:w="1728"/>
          </w:tcPr>
          <w:p>
            <w:r/>
          </w:p>
        </w:tc>
        <w:tc>
          <w:tcPr>
            <w:tcW w:type="dxa" w:w="1728"/>
          </w:tcPr>
          <w:p>
            <w:r>
              <w:t>45- 2-3</w:t>
            </w:r>
          </w:p>
        </w:tc>
        <w:tc>
          <w:tcPr>
            <w:tcW w:type="dxa" w:w="1728"/>
          </w:tcPr>
          <w:p>
            <w:r>
              <w:t>452122 12 and DA03/ DA04 452300 00</w:t>
            </w:r>
          </w:p>
        </w:tc>
        <w:tc>
          <w:tcPr>
            <w:tcW w:type="dxa" w:w="1728"/>
          </w:tcPr>
          <w:p>
            <w:r>
              <w:t>Stavebné práce na stavbe bazéna (verejného alebo súkromného); Stavebné práce na stavbe diaľkových potrubných vedení, komunikačných a energetických vedení, na diaľnicach, cestách, letiskách a železniciach; stavebné práce na stavbe plošín.</w:t>
            </w:r>
          </w:p>
        </w:tc>
      </w:tr>
      <w:tr>
        <w:tc>
          <w:tcPr>
            <w:tcW w:type="dxa" w:w="1728"/>
          </w:tcPr>
          <w:p>
            <w:r/>
          </w:p>
        </w:tc>
        <w:tc>
          <w:tcPr>
            <w:tcW w:type="dxa" w:w="1728"/>
          </w:tcPr>
          <w:p>
            <w:r/>
          </w:p>
        </w:tc>
        <w:tc>
          <w:tcPr>
            <w:tcW w:type="dxa" w:w="1728"/>
          </w:tcPr>
          <w:p>
            <w:r>
              <w:t>45- 2-4</w:t>
            </w:r>
          </w:p>
        </w:tc>
        <w:tc>
          <w:tcPr>
            <w:tcW w:type="dxa" w:w="1728"/>
          </w:tcPr>
          <w:p>
            <w:r>
              <w:t>45240000</w:t>
            </w:r>
          </w:p>
        </w:tc>
        <w:tc>
          <w:tcPr>
            <w:tcW w:type="dxa" w:w="1728"/>
          </w:tcPr>
          <w:p>
            <w:r>
              <w:t>Výstavba vodných diel</w:t>
            </w:r>
          </w:p>
        </w:tc>
      </w:tr>
      <w:tr>
        <w:tc>
          <w:tcPr>
            <w:tcW w:type="dxa" w:w="1728"/>
          </w:tcPr>
          <w:p>
            <w:r/>
          </w:p>
        </w:tc>
        <w:tc>
          <w:tcPr>
            <w:tcW w:type="dxa" w:w="1728"/>
          </w:tcPr>
          <w:p>
            <w:r/>
          </w:p>
        </w:tc>
        <w:tc>
          <w:tcPr>
            <w:tcW w:type="dxa" w:w="1728"/>
          </w:tcPr>
          <w:p>
            <w:r>
              <w:t>45- 2-5</w:t>
            </w:r>
          </w:p>
        </w:tc>
        <w:tc>
          <w:tcPr>
            <w:tcW w:type="dxa" w:w="1728"/>
          </w:tcPr>
          <w:p>
            <w:r>
              <w:t>45250000</w:t>
            </w:r>
          </w:p>
        </w:tc>
        <w:tc>
          <w:tcPr>
            <w:tcW w:type="dxa" w:w="1728"/>
          </w:tcPr>
          <w:p>
            <w:r>
              <w:t>Výstavba objektov pre ťažbu a výrobu a výstavba budov, súvisiacich s ropným a plynárenským priemyslom</w:t>
            </w:r>
          </w:p>
        </w:tc>
      </w:tr>
      <w:tr>
        <w:tc>
          <w:tcPr>
            <w:tcW w:type="dxa" w:w="1728"/>
          </w:tcPr>
          <w:p>
            <w:r/>
          </w:p>
        </w:tc>
        <w:tc>
          <w:tcPr>
            <w:tcW w:type="dxa" w:w="1728"/>
          </w:tcPr>
          <w:p>
            <w:r/>
          </w:p>
        </w:tc>
        <w:tc>
          <w:tcPr>
            <w:tcW w:type="dxa" w:w="1728"/>
          </w:tcPr>
          <w:p>
            <w:r>
              <w:t>45- 2-6</w:t>
            </w:r>
          </w:p>
        </w:tc>
        <w:tc>
          <w:tcPr>
            <w:tcW w:type="dxa" w:w="1728"/>
          </w:tcPr>
          <w:p>
            <w:r>
              <w:t>45262000</w:t>
            </w:r>
          </w:p>
        </w:tc>
        <w:tc>
          <w:tcPr>
            <w:tcW w:type="dxa" w:w="1728"/>
          </w:tcPr>
          <w:p>
            <w:r>
              <w:t>Špecializované remeselnícke stavebné práce okrem strešných prác</w:t>
            </w:r>
          </w:p>
        </w:tc>
      </w:tr>
      <w:tr>
        <w:tc>
          <w:tcPr>
            <w:tcW w:type="dxa" w:w="1728"/>
          </w:tcPr>
          <w:p>
            <w:r/>
          </w:p>
        </w:tc>
        <w:tc>
          <w:tcPr>
            <w:tcW w:type="dxa" w:w="1728"/>
          </w:tcPr>
          <w:p>
            <w:r>
              <w:t>45-3</w:t>
            </w:r>
          </w:p>
        </w:tc>
        <w:tc>
          <w:tcPr>
            <w:tcW w:type="dxa" w:w="1728"/>
          </w:tcPr>
          <w:p>
            <w:r/>
          </w:p>
        </w:tc>
        <w:tc>
          <w:tcPr>
            <w:tcW w:type="dxa" w:w="1728"/>
          </w:tcPr>
          <w:p>
            <w:r>
              <w:t>45300000</w:t>
            </w:r>
          </w:p>
        </w:tc>
        <w:tc>
          <w:tcPr>
            <w:tcW w:type="dxa" w:w="1728"/>
          </w:tcPr>
          <w:p>
            <w:r>
              <w:t>Stavebno-inštalačné práce</w:t>
            </w:r>
          </w:p>
        </w:tc>
      </w:tr>
      <w:tr>
        <w:tc>
          <w:tcPr>
            <w:tcW w:type="dxa" w:w="1728"/>
          </w:tcPr>
          <w:p>
            <w:r>
              <w:t>Division</w:t>
            </w:r>
          </w:p>
        </w:tc>
        <w:tc>
          <w:tcPr>
            <w:tcW w:type="dxa" w:w="1728"/>
          </w:tcPr>
          <w:p>
            <w:r>
              <w:t>Group</w:t>
            </w:r>
          </w:p>
        </w:tc>
        <w:tc>
          <w:tcPr>
            <w:tcW w:type="dxa" w:w="1728"/>
          </w:tcPr>
          <w:p>
            <w:r>
              <w:t>Class</w:t>
            </w:r>
          </w:p>
        </w:tc>
        <w:tc>
          <w:tcPr>
            <w:tcW w:type="dxa" w:w="1728"/>
          </w:tcPr>
          <w:p>
            <w:r>
              <w:t>CPV code</w:t>
            </w:r>
          </w:p>
        </w:tc>
        <w:tc>
          <w:tcPr>
            <w:tcW w:type="dxa" w:w="1728"/>
          </w:tcPr>
          <w:p>
            <w:r>
              <w:t>Predmet</w:t>
            </w:r>
          </w:p>
        </w:tc>
      </w:tr>
      <w:tr>
        <w:tc>
          <w:tcPr>
            <w:tcW w:type="dxa" w:w="1728"/>
          </w:tcPr>
          <w:p>
            <w:r/>
          </w:p>
        </w:tc>
        <w:tc>
          <w:tcPr>
            <w:tcW w:type="dxa" w:w="1728"/>
          </w:tcPr>
          <w:p>
            <w:r/>
          </w:p>
        </w:tc>
        <w:tc>
          <w:tcPr>
            <w:tcW w:type="dxa" w:w="1728"/>
          </w:tcPr>
          <w:p>
            <w:r>
              <w:t>45- 3-1</w:t>
            </w:r>
          </w:p>
        </w:tc>
        <w:tc>
          <w:tcPr>
            <w:tcW w:type="dxa" w:w="1728"/>
          </w:tcPr>
          <w:p>
            <w:r>
              <w:t>45310000</w:t>
            </w:r>
          </w:p>
        </w:tc>
        <w:tc>
          <w:tcPr>
            <w:tcW w:type="dxa" w:w="1728"/>
          </w:tcPr>
          <w:p>
            <w:r>
              <w:t>Elektroinštalačné práce.</w:t>
            </w:r>
          </w:p>
        </w:tc>
      </w:tr>
      <w:tr>
        <w:tc>
          <w:tcPr>
            <w:tcW w:type="dxa" w:w="1728"/>
          </w:tcPr>
          <w:p>
            <w:r/>
          </w:p>
        </w:tc>
        <w:tc>
          <w:tcPr>
            <w:tcW w:type="dxa" w:w="1728"/>
          </w:tcPr>
          <w:p>
            <w:r/>
          </w:p>
        </w:tc>
        <w:tc>
          <w:tcPr>
            <w:tcW w:type="dxa" w:w="1728"/>
          </w:tcPr>
          <w:p>
            <w:r>
              <w:t>45- 3-2</w:t>
            </w:r>
          </w:p>
        </w:tc>
        <w:tc>
          <w:tcPr>
            <w:tcW w:type="dxa" w:w="1728"/>
          </w:tcPr>
          <w:p>
            <w:r>
              <w:t>45320000</w:t>
            </w:r>
          </w:p>
        </w:tc>
        <w:tc>
          <w:tcPr>
            <w:tcW w:type="dxa" w:w="1728"/>
          </w:tcPr>
          <w:p>
            <w:r>
              <w:t>Izolačné práce</w:t>
            </w:r>
          </w:p>
        </w:tc>
      </w:tr>
      <w:tr>
        <w:tc>
          <w:tcPr>
            <w:tcW w:type="dxa" w:w="1728"/>
          </w:tcPr>
          <w:p>
            <w:r/>
          </w:p>
        </w:tc>
        <w:tc>
          <w:tcPr>
            <w:tcW w:type="dxa" w:w="1728"/>
          </w:tcPr>
          <w:p>
            <w:r/>
          </w:p>
        </w:tc>
        <w:tc>
          <w:tcPr>
            <w:tcW w:type="dxa" w:w="1728"/>
          </w:tcPr>
          <w:p>
            <w:r>
              <w:t>45- 3-3</w:t>
            </w:r>
          </w:p>
        </w:tc>
        <w:tc>
          <w:tcPr>
            <w:tcW w:type="dxa" w:w="1728"/>
          </w:tcPr>
          <w:p>
            <w:r>
              <w:t>45330000</w:t>
            </w:r>
          </w:p>
        </w:tc>
        <w:tc>
          <w:tcPr>
            <w:tcW w:type="dxa" w:w="1728"/>
          </w:tcPr>
          <w:p>
            <w:r>
              <w:t>Kanalizačné a sanitárne práce</w:t>
            </w:r>
          </w:p>
        </w:tc>
      </w:tr>
      <w:tr>
        <w:tc>
          <w:tcPr>
            <w:tcW w:type="dxa" w:w="1728"/>
          </w:tcPr>
          <w:p>
            <w:r/>
          </w:p>
        </w:tc>
        <w:tc>
          <w:tcPr>
            <w:tcW w:type="dxa" w:w="1728"/>
          </w:tcPr>
          <w:p>
            <w:r/>
          </w:p>
        </w:tc>
        <w:tc>
          <w:tcPr>
            <w:tcW w:type="dxa" w:w="1728"/>
          </w:tcPr>
          <w:p>
            <w:r>
              <w:t>45- 3-4</w:t>
            </w:r>
          </w:p>
        </w:tc>
        <w:tc>
          <w:tcPr>
            <w:tcW w:type="dxa" w:w="1728"/>
          </w:tcPr>
          <w:p>
            <w:r>
              <w:t>45340000</w:t>
            </w:r>
          </w:p>
        </w:tc>
        <w:tc>
          <w:tcPr>
            <w:tcW w:type="dxa" w:w="1728"/>
          </w:tcPr>
          <w:p>
            <w:r>
              <w:t>Inštalačné práce na oplotení, zábradliach a bezpečnostných zariadeniach.</w:t>
            </w:r>
          </w:p>
        </w:tc>
      </w:tr>
      <w:tr>
        <w:tc>
          <w:tcPr>
            <w:tcW w:type="dxa" w:w="1728"/>
          </w:tcPr>
          <w:p>
            <w:r/>
          </w:p>
        </w:tc>
        <w:tc>
          <w:tcPr>
            <w:tcW w:type="dxa" w:w="1728"/>
          </w:tcPr>
          <w:p>
            <w:r>
              <w:t>45-4</w:t>
            </w:r>
          </w:p>
        </w:tc>
        <w:tc>
          <w:tcPr>
            <w:tcW w:type="dxa" w:w="1728"/>
          </w:tcPr>
          <w:p>
            <w:r/>
          </w:p>
        </w:tc>
        <w:tc>
          <w:tcPr>
            <w:tcW w:type="dxa" w:w="1728"/>
          </w:tcPr>
          <w:p>
            <w:r>
              <w:t>45400000</w:t>
            </w:r>
          </w:p>
        </w:tc>
        <w:tc>
          <w:tcPr>
            <w:tcW w:type="dxa" w:w="1728"/>
          </w:tcPr>
          <w:p>
            <w:r>
              <w:t>Dokončievacie práce</w:t>
            </w:r>
          </w:p>
        </w:tc>
      </w:tr>
      <w:tr>
        <w:tc>
          <w:tcPr>
            <w:tcW w:type="dxa" w:w="1728"/>
          </w:tcPr>
          <w:p>
            <w:r/>
          </w:p>
        </w:tc>
        <w:tc>
          <w:tcPr>
            <w:tcW w:type="dxa" w:w="1728"/>
          </w:tcPr>
          <w:p>
            <w:r/>
          </w:p>
        </w:tc>
        <w:tc>
          <w:tcPr>
            <w:tcW w:type="dxa" w:w="1728"/>
          </w:tcPr>
          <w:p>
            <w:r>
              <w:t>45- 4-1</w:t>
            </w:r>
          </w:p>
        </w:tc>
        <w:tc>
          <w:tcPr>
            <w:tcW w:type="dxa" w:w="1728"/>
          </w:tcPr>
          <w:p>
            <w:r>
              <w:t>45410000</w:t>
            </w:r>
          </w:p>
        </w:tc>
        <w:tc>
          <w:tcPr>
            <w:tcW w:type="dxa" w:w="1728"/>
          </w:tcPr>
          <w:p>
            <w:r>
              <w:t>Náplasti</w:t>
            </w:r>
          </w:p>
        </w:tc>
      </w:tr>
      <w:tr>
        <w:tc>
          <w:tcPr>
            <w:tcW w:type="dxa" w:w="1728"/>
          </w:tcPr>
          <w:p>
            <w:r/>
          </w:p>
        </w:tc>
        <w:tc>
          <w:tcPr>
            <w:tcW w:type="dxa" w:w="1728"/>
          </w:tcPr>
          <w:p>
            <w:r/>
          </w:p>
        </w:tc>
        <w:tc>
          <w:tcPr>
            <w:tcW w:type="dxa" w:w="1728"/>
          </w:tcPr>
          <w:p>
            <w:r>
              <w:t>45- 4-2</w:t>
            </w:r>
          </w:p>
        </w:tc>
        <w:tc>
          <w:tcPr>
            <w:tcW w:type="dxa" w:w="1728"/>
          </w:tcPr>
          <w:p>
            <w:r>
              <w:t>45420000</w:t>
            </w:r>
          </w:p>
        </w:tc>
        <w:tc>
          <w:tcPr>
            <w:tcW w:type="dxa" w:w="1728"/>
          </w:tcPr>
          <w:p>
            <w:r>
              <w:t>Inštalovanie stolárskych a tesárskych výrobkov</w:t>
            </w:r>
          </w:p>
        </w:tc>
      </w:tr>
      <w:tr>
        <w:tc>
          <w:tcPr>
            <w:tcW w:type="dxa" w:w="1728"/>
          </w:tcPr>
          <w:p>
            <w:r/>
          </w:p>
        </w:tc>
        <w:tc>
          <w:tcPr>
            <w:tcW w:type="dxa" w:w="1728"/>
          </w:tcPr>
          <w:p>
            <w:r/>
          </w:p>
        </w:tc>
        <w:tc>
          <w:tcPr>
            <w:tcW w:type="dxa" w:w="1728"/>
          </w:tcPr>
          <w:p>
            <w:r>
              <w:t>45- 4-3</w:t>
            </w:r>
          </w:p>
        </w:tc>
        <w:tc>
          <w:tcPr>
            <w:tcW w:type="dxa" w:w="1728"/>
          </w:tcPr>
          <w:p>
            <w:r>
              <w:t>45430000</w:t>
            </w:r>
          </w:p>
        </w:tc>
        <w:tc>
          <w:tcPr>
            <w:tcW w:type="dxa" w:w="1728"/>
          </w:tcPr>
          <w:p>
            <w:r>
              <w:t>Obkladanie stien a kladenie dlažbových krytín</w:t>
            </w:r>
          </w:p>
        </w:tc>
      </w:tr>
      <w:tr>
        <w:tc>
          <w:tcPr>
            <w:tcW w:type="dxa" w:w="1728"/>
          </w:tcPr>
          <w:p>
            <w:r/>
          </w:p>
        </w:tc>
        <w:tc>
          <w:tcPr>
            <w:tcW w:type="dxa" w:w="1728"/>
          </w:tcPr>
          <w:p>
            <w:r/>
          </w:p>
        </w:tc>
        <w:tc>
          <w:tcPr>
            <w:tcW w:type="dxa" w:w="1728"/>
          </w:tcPr>
          <w:p>
            <w:r>
              <w:t>45- 4-4</w:t>
            </w:r>
          </w:p>
        </w:tc>
        <w:tc>
          <w:tcPr>
            <w:tcW w:type="dxa" w:w="1728"/>
          </w:tcPr>
          <w:p>
            <w:r>
              <w:t>45440000</w:t>
            </w:r>
          </w:p>
        </w:tc>
        <w:tc>
          <w:tcPr>
            <w:tcW w:type="dxa" w:w="1728"/>
          </w:tcPr>
          <w:p>
            <w:r>
              <w:t>Maliarske, natieračské a sklenárske práce</w:t>
            </w:r>
          </w:p>
        </w:tc>
      </w:tr>
      <w:tr>
        <w:tc>
          <w:tcPr>
            <w:tcW w:type="dxa" w:w="1728"/>
          </w:tcPr>
          <w:p>
            <w:r/>
          </w:p>
        </w:tc>
        <w:tc>
          <w:tcPr>
            <w:tcW w:type="dxa" w:w="1728"/>
          </w:tcPr>
          <w:p>
            <w:r/>
          </w:p>
        </w:tc>
        <w:tc>
          <w:tcPr>
            <w:tcW w:type="dxa" w:w="1728"/>
          </w:tcPr>
          <w:p>
            <w:r>
              <w:t>45- 4-5</w:t>
            </w:r>
          </w:p>
        </w:tc>
        <w:tc>
          <w:tcPr>
            <w:tcW w:type="dxa" w:w="1728"/>
          </w:tcPr>
          <w:p>
            <w:r>
              <w:t>45450000</w:t>
            </w:r>
          </w:p>
        </w:tc>
        <w:tc>
          <w:tcPr>
            <w:tcW w:type="dxa" w:w="1728"/>
          </w:tcPr>
          <w:p>
            <w:r>
              <w:t>Iné práce na kompletizácii a dokončovaní budov</w:t>
            </w:r>
          </w:p>
        </w:tc>
      </w:tr>
      <w:tr>
        <w:tc>
          <w:tcPr>
            <w:tcW w:type="dxa" w:w="1728"/>
          </w:tcPr>
          <w:p>
            <w:r/>
          </w:p>
        </w:tc>
        <w:tc>
          <w:tcPr>
            <w:tcW w:type="dxa" w:w="1728"/>
          </w:tcPr>
          <w:p>
            <w:r>
              <w:t>45-5</w:t>
            </w:r>
          </w:p>
        </w:tc>
        <w:tc>
          <w:tcPr>
            <w:tcW w:type="dxa" w:w="1728"/>
          </w:tcPr>
          <w:p>
            <w:r/>
          </w:p>
        </w:tc>
        <w:tc>
          <w:tcPr>
            <w:tcW w:type="dxa" w:w="1728"/>
          </w:tcPr>
          <w:p>
            <w:r>
              <w:t>45500000</w:t>
            </w:r>
          </w:p>
        </w:tc>
        <w:tc>
          <w:tcPr>
            <w:tcW w:type="dxa" w:w="1728"/>
          </w:tcPr>
          <w:p>
            <w:r>
              <w:t>Prenájom stavebných strojov a zariadení a strojov a zariadení stavebného inžinierstva s obsluhou</w:t>
            </w:r>
          </w:p>
        </w:tc>
      </w:tr>
    </w:tbl>
    <w:p>
      <w:pPr>
        <w:pStyle w:val="Heading1"/>
      </w:pPr>
      <w:r>
        <w:t>PRÍLOHA VI</w:t>
      </w:r>
    </w:p>
    <w:p>
      <w:pPr>
        <w:pStyle w:val="Heading3"/>
        <w:jc w:val="center"/>
      </w:pPr>
      <w:r>
        <w:t>Služby uvedené v článku 57 ods. 2 a článku 58 ods. 1</w:t>
      </w:r>
    </w:p>
    <w:tbl>
      <w:tblPr>
        <w:tblStyle w:val="TableGrid"/>
        <w:tblW w:type="auto" w:w="0"/>
        <w:tblLook w:firstColumn="1" w:firstRow="1" w:lastColumn="0" w:lastRow="0" w:noHBand="0" w:noVBand="1" w:val="04A0"/>
      </w:tblPr>
      <w:tblGrid>
        <w:gridCol w:w="4320"/>
        <w:gridCol w:w="4320"/>
      </w:tblGrid>
      <w:tr>
        <w:tc>
          <w:tcPr>
            <w:tcW w:type="dxa" w:w="4320"/>
          </w:tcPr>
          <w:p>
            <w:r>
              <w:t>Kód CPV</w:t>
            </w:r>
          </w:p>
        </w:tc>
        <w:tc>
          <w:tcPr>
            <w:tcW w:type="dxa" w:w="4320"/>
          </w:tcPr>
          <w:p>
            <w:r>
              <w:t>Popis</w:t>
            </w:r>
          </w:p>
        </w:tc>
      </w:tr>
      <w:tr>
        <w:tc>
          <w:tcPr>
            <w:tcW w:type="dxa" w:w="4320"/>
          </w:tcPr>
          <w:p>
            <w:r>
              <w:t>75200000-8; 75231200-6; 75231240-8; 79611000-0; 79622000-0 [Supply services of domestic help personnel]; 79624000-4 [Supply services of nursing personnel] and 79625000-1 [Supply services of medical personnel] from 85000000-9 to 85323000-9; 98133100-5, 98133000-4; 98200000-5; 98500000-8 [Private households with employed persons] and 98513000-2 to 98514000-9 [Manpower services for households, Agency staff services for households, Clerical staff services for households, Temporary staff for households, Home- help services and Domestic services]</w:t>
            </w:r>
          </w:p>
        </w:tc>
        <w:tc>
          <w:tcPr>
            <w:tcW w:type="dxa" w:w="4320"/>
          </w:tcPr>
          <w:p>
            <w:r>
              <w:t>Zdravotnícke, sociálne a súvisiace služby</w:t>
            </w:r>
          </w:p>
        </w:tc>
      </w:tr>
      <w:tr>
        <w:tc>
          <w:tcPr>
            <w:tcW w:type="dxa" w:w="4320"/>
          </w:tcPr>
          <w:p>
            <w:r>
              <w:t>85321000-5 and 85322000-2, 75000000- 6 [Administration, defence and social security services], 75121000-0, 75122000-7, 75124000-1; from 79995000-5 to 79995200-7; from 80000000-4 Education and training services to 80660000-8;</w:t>
            </w:r>
          </w:p>
        </w:tc>
        <w:tc>
          <w:tcPr>
            <w:tcW w:type="dxa" w:w="4320"/>
          </w:tcPr>
          <w:p>
            <w:r>
              <w:t>Administratívne sociálne, vzdelávacie a zdravotnícke služby</w:t>
            </w:r>
          </w:p>
        </w:tc>
      </w:tr>
      <w:tr>
        <w:tc>
          <w:tcPr>
            <w:tcW w:type="dxa" w:w="4320"/>
          </w:tcPr>
          <w:p>
            <w:r>
              <w:t>92500000-6 and 92600000-7</w:t>
            </w:r>
          </w:p>
        </w:tc>
        <w:tc>
          <w:tcPr>
            <w:tcW w:type="dxa" w:w="4320"/>
          </w:tcPr>
          <w:p>
            <w:r>
              <w:t>Knižnice, archívy, múzeá a iné kultúrne služby a športové služby</w:t>
            </w:r>
          </w:p>
        </w:tc>
      </w:tr>
      <w:tr>
        <w:tc>
          <w:tcPr>
            <w:tcW w:type="dxa" w:w="4320"/>
          </w:tcPr>
          <w:p>
            <w:r>
              <w:t>75300000-9</w:t>
            </w:r>
          </w:p>
        </w:tc>
        <w:tc>
          <w:tcPr>
            <w:tcW w:type="dxa" w:w="4320"/>
          </w:tcPr>
          <w:p>
            <w:r>
              <w:t>Povinné sociálne zabezpečenie</w:t>
            </w:r>
          </w:p>
        </w:tc>
      </w:tr>
      <w:tr>
        <w:tc>
          <w:tcPr>
            <w:tcW w:type="dxa" w:w="4320"/>
          </w:tcPr>
          <w:p>
            <w:r>
              <w:t>75310000-2, 75311000-9, 75312000-6, 75313000-3, 75313100-4, 75314000-0, 75320000-5, 75330000-8, 75340000-1</w:t>
            </w:r>
          </w:p>
        </w:tc>
        <w:tc>
          <w:tcPr>
            <w:tcW w:type="dxa" w:w="4320"/>
          </w:tcPr>
          <w:p>
            <w:r>
              <w:t>Služby týkajúce sa poskytovania dávok</w:t>
            </w:r>
          </w:p>
        </w:tc>
      </w:tr>
      <w:tr>
        <w:tc>
          <w:tcPr>
            <w:tcW w:type="dxa" w:w="4320"/>
          </w:tcPr>
          <w:p>
            <w:r>
              <w:t>98000000-3; 98120000-0; 98132000-7; 98133110-8 and 98130000-3</w:t>
            </w:r>
          </w:p>
        </w:tc>
        <w:tc>
          <w:tcPr>
            <w:tcW w:type="dxa" w:w="4320"/>
          </w:tcPr>
          <w:p>
            <w:r>
              <w:t>Iné služby pre verejnosť, sociálne služby a osobné služby vrátane služieb poskytovaných odborovými zväzmi, politickými organizáciami, mládežníckymi združeniami a iné služby členských organizácií</w:t>
            </w:r>
          </w:p>
        </w:tc>
      </w:tr>
      <w:tr>
        <w:tc>
          <w:tcPr>
            <w:tcW w:type="dxa" w:w="4320"/>
          </w:tcPr>
          <w:p>
            <w:r>
              <w:t>98131000-0</w:t>
            </w:r>
          </w:p>
        </w:tc>
        <w:tc>
          <w:tcPr>
            <w:tcW w:type="dxa" w:w="4320"/>
          </w:tcPr>
          <w:p>
            <w:r>
              <w:t>Rôzne služby členských organizácií</w:t>
            </w:r>
          </w:p>
        </w:tc>
      </w:tr>
      <w:tr>
        <w:tc>
          <w:tcPr>
            <w:tcW w:type="dxa" w:w="4320"/>
          </w:tcPr>
          <w:p>
            <w:r>
              <w:t>75200000-8 to 75231000-4</w:t>
            </w:r>
          </w:p>
        </w:tc>
        <w:tc>
          <w:tcPr>
            <w:tcW w:type="dxa" w:w="4320"/>
          </w:tcPr>
          <w:p>
            <w:r>
              <w:t>Poskytovanie komunálnych služieb</w:t>
            </w:r>
          </w:p>
        </w:tc>
      </w:tr>
      <w:tr>
        <w:tc>
          <w:tcPr>
            <w:tcW w:type="dxa" w:w="4320"/>
          </w:tcPr>
          <w:p>
            <w:r>
              <w:t>75231210-9 to 75231230-5; 75240000-0 to 75252000-7; 794300000-7; 98113100- 9</w:t>
            </w:r>
          </w:p>
        </w:tc>
        <w:tc>
          <w:tcPr>
            <w:tcW w:type="dxa" w:w="4320"/>
          </w:tcPr>
          <w:p>
            <w:r>
              <w:t>Služby súvisiace s väzbou, služby verejnej bezpečnosti a záchranné služby, pokiaľ nie sú vylúčené podľa článku 85 ods. 1 písm. k)</w:t>
            </w:r>
          </w:p>
        </w:tc>
      </w:tr>
    </w:tbl>
    <w:p>
      <w:pPr>
        <w:pStyle w:val="Heading1"/>
      </w:pPr>
      <w:r>
        <w:t>PRÍLOHA VII</w:t>
      </w:r>
    </w:p>
    <w:p>
      <w:pPr>
        <w:pStyle w:val="Heading3"/>
        <w:jc w:val="center"/>
      </w:pPr>
      <w:r>
        <w:t>Zoznam právnych aktov Únie uvedených v článku 54</w:t>
      </w:r>
    </w:p>
    <w:p>
      <w:r>
        <w:t>1. Nariadenie (EÚ) 2024/3110 z 27. novembra 2024, ktorým sa stanovujú harmonizované pravidlá uvádzania stavebných výrobkov na trh a zrušuje nariadenie (EÚ) č. 305/2011[11];</w:t>
      </w:r>
    </w:p>
    <w:p>
      <w:r>
        <w:t>2. Nariadenie Európskeho parlamentu a Rady (EÚ) 2024/1781 z 13. júna 2024, ktorým sa zriaďuje rámec na stanovenie požiadaviek na ekodizajn udržateľných výrobkov, mení smernica (EÚ) 2020/1828 a nariadenie (EÚ) 2023/1542 a zrušuje smernica 2009/125/ES[12];</w:t>
      </w:r>
    </w:p>
    <w:p>
      <w:r>
        <w:t>3. Nariadenie Európskeho parlamentu a Rady (EÚ) 2023/1542 z 12. júla 2023 o batériách a odpadových batériách, ktorým sa mení smernica 2008/98/ES a nariadenie (EÚ) 2019/1020 a zrušuje smernica 2006/66/ES[13];</w:t>
      </w:r>
    </w:p>
    <w:p>
      <w:r>
        <w:t>4. Nariadenie Európskeho parlamentu a Rady (EÚ) 2025/40 z 19. decembra 2024 o obaloch a odpadoch z obalov, o zmene nariadenia (EÚ) 2019/1020 a smernice (EÚ) 2019/904 a o zrušení smernice 94/62/ES[14];</w:t>
      </w:r>
    </w:p>
    <w:p>
      <w:r>
        <w:t>5. Nariadenie Európskeho parlamentu a Rady (EÚ) 2024/1735 z 13. júna 2024 o zriadení rámca opatrení na posilnenie európskeho ekosystému výroby emisne neutrálnych technológií a o zmene nariadenia (EÚ) 2018/1724[15];</w:t>
      </w:r>
    </w:p>
    <w:p>
      <w:r>
        <w:t>6. Nariadenie Európskeho parlamentu a Rady (EÚ) 2019/1242 z 20. júna 2019, ktorým sa stanovujú emisné normy CO2 pre nové ťažké úžitkové vozidlá a menia nariadenia Európskeho parlamentu a Rady (ES) č. 595/2009 a (EÚ) 2018/956 a smernica Rady 96/53/ES[16];</w:t>
      </w:r>
    </w:p>
    <w:p>
      <w:r>
        <w:t>7. Nariadenie Európskeho parlamentu a Rady (EÚ) 2019/631 zo 17. apríla 2019, ktorým sa stanovujú emisné normy CO2 pre nové osobné vozidlá a nové ľahké úžitkové vozidlá a ktorým sa zrušujú nariadenia (ES) č. 443/2009 a</w:t>
      </w:r>
    </w:p>
    <w:p>
      <w:r>
        <w:t>(EÚ) č. 510/2011 (prepracované znenie)[17];</w:t>
      </w:r>
    </w:p>
    <w:p>
      <w:r>
        <w:t>8. Nariadenie Európskeho parlamentu a Rady (EÚ) 2020/740 z 25. mája 2020 o označovaní pneumatík vzhľadom na palivovú úspornosť a iné parametre, ktorým sa mení nariadenie (EÚ) 2017/1369 a zrušuje nariadenie (ES) č. 1222/2009[18].</w:t>
      </w:r>
    </w:p>
    <w:p>
      <w:r>
        <w:rPr>
          <w:sz w:val="16"/>
        </w:rPr>
        <w:t>11 Ú. V. EÚ L, 2024/3110, 18.12.2024, ELI: http://data.europa.eu/eli/reg/2024/3110/oj.</w:t>
      </w:r>
    </w:p>
    <w:p>
      <w:r>
        <w:rPr>
          <w:sz w:val="16"/>
        </w:rPr>
        <w:t>12 Ú. V. EÚ L, 2024/1781, 28.6.2024, ELI: http://data.europa.eu/eli/reg/2024/1781/oj.</w:t>
      </w:r>
    </w:p>
    <w:p>
      <w:r>
        <w:rPr>
          <w:sz w:val="16"/>
        </w:rPr>
        <w:t>13 Ú. v. EÚ L 191, 28.7.2023, s. 1, ELI: http://data.europa.eu/eli/reg/2023/1542/oj.</w:t>
      </w:r>
    </w:p>
    <w:p>
      <w:r>
        <w:rPr>
          <w:sz w:val="16"/>
        </w:rPr>
        <w:t>14 Ú. V. EÚ L, 2025/40, 22.1.2025, ELI: http://data.europa.eu/eli/reg/2025/40/oj.</w:t>
      </w:r>
    </w:p>
    <w:p>
      <w:r>
        <w:rPr>
          <w:sz w:val="16"/>
        </w:rPr>
        <w:t>15 Ú. V. EÚ L, 2024/1735, 28.6.2024, ELI: http://data.europa.eu/eli/reg/2024/1735/oj.</w:t>
      </w:r>
    </w:p>
    <w:p>
      <w:r>
        <w:rPr>
          <w:sz w:val="16"/>
        </w:rPr>
        <w:t>16 Ú. v. EÚ L 111, 25.4.2019, s. 13, ELI: http://data.europa.eu/eli/reg/2019/631/oj.</w:t>
      </w:r>
    </w:p>
    <w:p>
      <w:r>
        <w:rPr>
          <w:sz w:val="16"/>
        </w:rPr>
        <w:t>17 Ú. v. EÚ L 111, 25.4.2019, s. 13, ELI: http://data.europa.eu/eli/reg/2019/631/oj.</w:t>
      </w:r>
    </w:p>
    <w:p>
      <w:r>
        <w:rPr>
          <w:sz w:val="16"/>
        </w:rPr>
        <w:t>18 Ú. v. EÚ L 177, 5.6.2020, s. 1, ELI: http://data.europa.eu/eli/reg/2020/740/oj.</w:t>
      </w:r>
    </w:p>
    <w:p>
      <w:pPr>
        <w:pStyle w:val="Heading1"/>
      </w:pPr>
      <w:r>
        <w:t>PRÍLOHA VIII</w:t>
      </w:r>
    </w:p>
    <w:p>
      <w:pPr>
        <w:pStyle w:val="Heading3"/>
        <w:jc w:val="center"/>
      </w:pPr>
      <w:r>
        <w:t>Tabuľka zhody</w:t>
      </w:r>
    </w:p>
    <w:p>
      <w:r>
        <w:t>Časť A – Zrušenia podľa článku 146</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Toto nariadenie Článok 1</w:t>
            </w:r>
          </w:p>
        </w:tc>
        <w:tc>
          <w:tcPr>
            <w:tcW w:type="dxa" w:w="2160"/>
          </w:tcPr>
          <w:p>
            <w:r>
              <w:t>Smernica 2014/23/EÚ</w:t>
            </w:r>
          </w:p>
        </w:tc>
        <w:tc>
          <w:tcPr>
            <w:tcW w:type="dxa" w:w="2160"/>
          </w:tcPr>
          <w:p>
            <w:r>
              <w:t>Smernica 2014/24/EÚ</w:t>
            </w:r>
          </w:p>
        </w:tc>
        <w:tc>
          <w:tcPr>
            <w:tcW w:type="dxa" w:w="2160"/>
          </w:tcPr>
          <w:p>
            <w:r>
              <w:t>Smernica 2014/25/EÚ</w:t>
            </w:r>
          </w:p>
        </w:tc>
      </w:tr>
      <w:tr>
        <w:tc>
          <w:tcPr>
            <w:tcW w:type="dxa" w:w="2160"/>
          </w:tcPr>
          <w:p>
            <w:r>
              <w:t>Art. 1</w:t>
            </w:r>
          </w:p>
        </w:tc>
        <w:tc>
          <w:tcPr>
            <w:tcW w:type="dxa" w:w="2160"/>
          </w:tcPr>
          <w:p>
            <w:r>
              <w:t>Art. 1</w:t>
            </w:r>
          </w:p>
        </w:tc>
        <w:tc>
          <w:tcPr>
            <w:tcW w:type="dxa" w:w="2160"/>
          </w:tcPr>
          <w:p>
            <w:r>
              <w:t>Art. 1</w:t>
            </w:r>
          </w:p>
        </w:tc>
        <w:tc>
          <w:tcPr>
            <w:tcW w:type="dxa" w:w="2160"/>
          </w:tcPr>
          <w:p>
            <w:r>
              <w:t>Art. 1</w:t>
            </w:r>
          </w:p>
        </w:tc>
      </w:tr>
      <w:tr>
        <w:tc>
          <w:tcPr>
            <w:tcW w:type="dxa" w:w="2160"/>
          </w:tcPr>
          <w:p>
            <w:r>
              <w:t>Art. 2</w:t>
            </w:r>
          </w:p>
        </w:tc>
        <w:tc>
          <w:tcPr>
            <w:tcW w:type="dxa" w:w="2160"/>
          </w:tcPr>
          <w:p>
            <w:r>
              <w:t>Art. 8</w:t>
            </w:r>
          </w:p>
        </w:tc>
        <w:tc>
          <w:tcPr>
            <w:tcW w:type="dxa" w:w="2160"/>
          </w:tcPr>
          <w:p>
            <w:r>
              <w:t>Art. 4</w:t>
            </w:r>
          </w:p>
        </w:tc>
        <w:tc>
          <w:tcPr>
            <w:tcW w:type="dxa" w:w="2160"/>
          </w:tcPr>
          <w:p>
            <w:r>
              <w:t>Art. 15</w:t>
            </w:r>
          </w:p>
        </w:tc>
      </w:tr>
      <w:tr>
        <w:tc>
          <w:tcPr>
            <w:tcW w:type="dxa" w:w="2160"/>
          </w:tcPr>
          <w:p>
            <w:r>
              <w:t>Art. 3</w:t>
            </w:r>
          </w:p>
        </w:tc>
        <w:tc>
          <w:tcPr>
            <w:tcW w:type="dxa" w:w="2160"/>
          </w:tcPr>
          <w:p>
            <w:r>
              <w:t>Art. 9</w:t>
            </w:r>
          </w:p>
        </w:tc>
        <w:tc>
          <w:tcPr>
            <w:tcW w:type="dxa" w:w="2160"/>
          </w:tcPr>
          <w:p>
            <w:r>
              <w:t>Art. 6</w:t>
            </w:r>
          </w:p>
        </w:tc>
        <w:tc>
          <w:tcPr>
            <w:tcW w:type="dxa" w:w="2160"/>
          </w:tcPr>
          <w:p>
            <w:r>
              <w:t>Art. 17</w:t>
            </w:r>
          </w:p>
        </w:tc>
      </w:tr>
      <w:tr>
        <w:tc>
          <w:tcPr>
            <w:tcW w:type="dxa" w:w="2160"/>
          </w:tcPr>
          <w:p>
            <w:r>
              <w:t>Art. 4</w:t>
            </w:r>
          </w:p>
        </w:tc>
        <w:tc>
          <w:tcPr>
            <w:tcW w:type="dxa" w:w="2160"/>
          </w:tcPr>
          <w:p>
            <w:r>
              <w:t>Art. 3</w:t>
            </w:r>
          </w:p>
        </w:tc>
        <w:tc>
          <w:tcPr>
            <w:tcW w:type="dxa" w:w="2160"/>
          </w:tcPr>
          <w:p>
            <w:r>
              <w:t>Art.18</w:t>
            </w:r>
          </w:p>
        </w:tc>
        <w:tc>
          <w:tcPr>
            <w:tcW w:type="dxa" w:w="2160"/>
          </w:tcPr>
          <w:p>
            <w:r>
              <w:t>Art. 36</w:t>
            </w:r>
          </w:p>
        </w:tc>
      </w:tr>
      <w:tr>
        <w:tc>
          <w:tcPr>
            <w:tcW w:type="dxa" w:w="2160"/>
          </w:tcPr>
          <w:p>
            <w:r>
              <w:t>Art. 5</w:t>
            </w:r>
          </w:p>
        </w:tc>
        <w:tc>
          <w:tcPr>
            <w:tcW w:type="dxa" w:w="2160"/>
          </w:tcPr>
          <w:p>
            <w:r>
              <w:t>-</w:t>
            </w:r>
          </w:p>
        </w:tc>
        <w:tc>
          <w:tcPr>
            <w:tcW w:type="dxa" w:w="2160"/>
          </w:tcPr>
          <w:p>
            <w:r>
              <w:t>-</w:t>
            </w:r>
          </w:p>
        </w:tc>
        <w:tc>
          <w:tcPr>
            <w:tcW w:type="dxa" w:w="2160"/>
          </w:tcPr>
          <w:p>
            <w:r>
              <w:t>-</w:t>
            </w:r>
          </w:p>
        </w:tc>
      </w:tr>
      <w:tr>
        <w:tc>
          <w:tcPr>
            <w:tcW w:type="dxa" w:w="2160"/>
          </w:tcPr>
          <w:p>
            <w:r>
              <w:t>Art. 6</w:t>
            </w:r>
          </w:p>
        </w:tc>
        <w:tc>
          <w:tcPr>
            <w:tcW w:type="dxa" w:w="2160"/>
          </w:tcPr>
          <w:p>
            <w:r>
              <w:t>Art. 5</w:t>
            </w:r>
          </w:p>
        </w:tc>
        <w:tc>
          <w:tcPr>
            <w:tcW w:type="dxa" w:w="2160"/>
          </w:tcPr>
          <w:p>
            <w:r>
              <w:t>Art. 2</w:t>
            </w:r>
          </w:p>
        </w:tc>
        <w:tc>
          <w:tcPr>
            <w:tcW w:type="dxa" w:w="2160"/>
          </w:tcPr>
          <w:p>
            <w:r>
              <w:t>Art. 2</w:t>
            </w:r>
          </w:p>
        </w:tc>
      </w:tr>
      <w:tr>
        <w:tc>
          <w:tcPr>
            <w:tcW w:type="dxa" w:w="2160"/>
          </w:tcPr>
          <w:p>
            <w:r>
              <w:t>Art. 7</w:t>
            </w:r>
          </w:p>
        </w:tc>
        <w:tc>
          <w:tcPr>
            <w:tcW w:type="dxa" w:w="2160"/>
          </w:tcPr>
          <w:p>
            <w:r>
              <w:t>Art. 6</w:t>
            </w:r>
          </w:p>
        </w:tc>
        <w:tc>
          <w:tcPr>
            <w:tcW w:type="dxa" w:w="2160"/>
          </w:tcPr>
          <w:p>
            <w:r>
              <w:t>Art. 2 Para. 1(1), (3) Art. 6 Para. 7</w:t>
            </w:r>
          </w:p>
        </w:tc>
        <w:tc>
          <w:tcPr>
            <w:tcW w:type="dxa" w:w="2160"/>
          </w:tcPr>
          <w:p>
            <w:r>
              <w:t>Art. 3</w:t>
            </w:r>
          </w:p>
        </w:tc>
      </w:tr>
      <w:tr>
        <w:tc>
          <w:tcPr>
            <w:tcW w:type="dxa" w:w="2160"/>
          </w:tcPr>
          <w:p>
            <w:r>
              <w:t>Art. 8</w:t>
            </w:r>
          </w:p>
        </w:tc>
        <w:tc>
          <w:tcPr>
            <w:tcW w:type="dxa" w:w="2160"/>
          </w:tcPr>
          <w:p>
            <w:r>
              <w:t>Art. 7</w:t>
            </w:r>
          </w:p>
        </w:tc>
        <w:tc>
          <w:tcPr>
            <w:tcW w:type="dxa" w:w="2160"/>
          </w:tcPr>
          <w:p>
            <w:r>
              <w:t>Art. 13</w:t>
            </w:r>
          </w:p>
        </w:tc>
        <w:tc>
          <w:tcPr>
            <w:tcW w:type="dxa" w:w="2160"/>
          </w:tcPr>
          <w:p>
            <w:r>
              <w:t>Art. 4</w:t>
            </w:r>
          </w:p>
        </w:tc>
      </w:tr>
      <w:tr>
        <w:tc>
          <w:tcPr>
            <w:tcW w:type="dxa" w:w="2160"/>
          </w:tcPr>
          <w:p>
            <w:r>
              <w:t>Art. 9</w:t>
            </w:r>
          </w:p>
        </w:tc>
        <w:tc>
          <w:tcPr>
            <w:tcW w:type="dxa" w:w="2160"/>
          </w:tcPr>
          <w:p>
            <w:r>
              <w:t>-</w:t>
            </w:r>
          </w:p>
        </w:tc>
        <w:tc>
          <w:tcPr>
            <w:tcW w:type="dxa" w:w="2160"/>
          </w:tcPr>
          <w:p>
            <w:r>
              <w:t>Art. 37</w:t>
            </w:r>
          </w:p>
        </w:tc>
        <w:tc>
          <w:tcPr>
            <w:tcW w:type="dxa" w:w="2160"/>
          </w:tcPr>
          <w:p>
            <w:r>
              <w:t>Art. 55</w:t>
            </w:r>
          </w:p>
        </w:tc>
      </w:tr>
      <w:tr>
        <w:tc>
          <w:tcPr>
            <w:tcW w:type="dxa" w:w="2160"/>
          </w:tcPr>
          <w:p>
            <w:r>
              <w:t>Art. 10</w:t>
            </w:r>
          </w:p>
        </w:tc>
        <w:tc>
          <w:tcPr>
            <w:tcW w:type="dxa" w:w="2160"/>
          </w:tcPr>
          <w:p>
            <w:r>
              <w:t>Art. 14</w:t>
            </w:r>
          </w:p>
        </w:tc>
        <w:tc>
          <w:tcPr>
            <w:tcW w:type="dxa" w:w="2160"/>
          </w:tcPr>
          <w:p>
            <w:r>
              <w:t>Art. 38</w:t>
            </w:r>
          </w:p>
        </w:tc>
        <w:tc>
          <w:tcPr>
            <w:tcW w:type="dxa" w:w="2160"/>
          </w:tcPr>
          <w:p>
            <w:r>
              <w:t>Art. 56</w:t>
            </w:r>
          </w:p>
        </w:tc>
      </w:tr>
      <w:tr>
        <w:tc>
          <w:tcPr>
            <w:tcW w:type="dxa" w:w="2160"/>
          </w:tcPr>
          <w:p>
            <w:r>
              <w:t>Art. 11</w:t>
            </w:r>
          </w:p>
        </w:tc>
        <w:tc>
          <w:tcPr>
            <w:tcW w:type="dxa" w:w="2160"/>
          </w:tcPr>
          <w:p>
            <w:r>
              <w:t>-</w:t>
            </w:r>
          </w:p>
        </w:tc>
        <w:tc>
          <w:tcPr>
            <w:tcW w:type="dxa" w:w="2160"/>
          </w:tcPr>
          <w:p>
            <w:r>
              <w:t>-</w:t>
            </w:r>
          </w:p>
        </w:tc>
        <w:tc>
          <w:tcPr>
            <w:tcW w:type="dxa" w:w="2160"/>
          </w:tcPr>
          <w:p>
            <w:r>
              <w:t>Art. 7</w:t>
            </w:r>
          </w:p>
        </w:tc>
      </w:tr>
      <w:tr>
        <w:tc>
          <w:tcPr>
            <w:tcW w:type="dxa" w:w="2160"/>
          </w:tcPr>
          <w:p>
            <w:r>
              <w:t>Art. 12</w:t>
            </w:r>
          </w:p>
        </w:tc>
        <w:tc>
          <w:tcPr>
            <w:tcW w:type="dxa" w:w="2160"/>
          </w:tcPr>
          <w:p>
            <w:r>
              <w:t>Annex II Nr. 1</w:t>
            </w:r>
          </w:p>
        </w:tc>
        <w:tc>
          <w:tcPr>
            <w:tcW w:type="dxa" w:w="2160"/>
          </w:tcPr>
          <w:p>
            <w:r>
              <w:t>Art.7</w:t>
            </w:r>
          </w:p>
        </w:tc>
        <w:tc>
          <w:tcPr>
            <w:tcW w:type="dxa" w:w="2160"/>
          </w:tcPr>
          <w:p>
            <w:r>
              <w:t>Art. 8</w:t>
            </w:r>
          </w:p>
        </w:tc>
      </w:tr>
      <w:tr>
        <w:tc>
          <w:tcPr>
            <w:tcW w:type="dxa" w:w="2160"/>
          </w:tcPr>
          <w:p>
            <w:r>
              <w:t>Art. 13</w:t>
            </w:r>
          </w:p>
        </w:tc>
        <w:tc>
          <w:tcPr>
            <w:tcW w:type="dxa" w:w="2160"/>
          </w:tcPr>
          <w:p>
            <w:r>
              <w:t>Annex II Nr. 2</w:t>
            </w:r>
          </w:p>
        </w:tc>
        <w:tc>
          <w:tcPr>
            <w:tcW w:type="dxa" w:w="2160"/>
          </w:tcPr>
          <w:p>
            <w:r>
              <w:t>Art.7</w:t>
            </w:r>
          </w:p>
        </w:tc>
        <w:tc>
          <w:tcPr>
            <w:tcW w:type="dxa" w:w="2160"/>
          </w:tcPr>
          <w:p>
            <w:r>
              <w:t>Art. 9</w:t>
            </w:r>
          </w:p>
        </w:tc>
      </w:tr>
      <w:tr>
        <w:tc>
          <w:tcPr>
            <w:tcW w:type="dxa" w:w="2160"/>
          </w:tcPr>
          <w:p>
            <w:r>
              <w:t>Art. 14</w:t>
            </w:r>
          </w:p>
        </w:tc>
        <w:tc>
          <w:tcPr>
            <w:tcW w:type="dxa" w:w="2160"/>
          </w:tcPr>
          <w:p>
            <w:r>
              <w:t>Art. 12</w:t>
            </w:r>
          </w:p>
        </w:tc>
        <w:tc>
          <w:tcPr>
            <w:tcW w:type="dxa" w:w="2160"/>
          </w:tcPr>
          <w:p>
            <w:r>
              <w:t>Art.7</w:t>
            </w:r>
          </w:p>
        </w:tc>
        <w:tc>
          <w:tcPr>
            <w:tcW w:type="dxa" w:w="2160"/>
          </w:tcPr>
          <w:p>
            <w:r>
              <w:t>Art. 10</w:t>
            </w:r>
          </w:p>
        </w:tc>
      </w:tr>
      <w:tr>
        <w:tc>
          <w:tcPr>
            <w:tcW w:type="dxa" w:w="2160"/>
          </w:tcPr>
          <w:p>
            <w:r>
              <w:t>Art. 15</w:t>
            </w:r>
          </w:p>
        </w:tc>
        <w:tc>
          <w:tcPr>
            <w:tcW w:type="dxa" w:w="2160"/>
          </w:tcPr>
          <w:p>
            <w:r>
              <w:t>Annex II Nr. 3</w:t>
            </w:r>
          </w:p>
        </w:tc>
        <w:tc>
          <w:tcPr>
            <w:tcW w:type="dxa" w:w="2160"/>
          </w:tcPr>
          <w:p>
            <w:r>
              <w:t>Art.7</w:t>
            </w:r>
          </w:p>
        </w:tc>
        <w:tc>
          <w:tcPr>
            <w:tcW w:type="dxa" w:w="2160"/>
          </w:tcPr>
          <w:p>
            <w:r>
              <w:t>Art. 11</w:t>
            </w:r>
          </w:p>
        </w:tc>
      </w:tr>
      <w:tr>
        <w:tc>
          <w:tcPr>
            <w:tcW w:type="dxa" w:w="2160"/>
          </w:tcPr>
          <w:p>
            <w:r>
              <w:t>Art. 16</w:t>
            </w:r>
          </w:p>
        </w:tc>
        <w:tc>
          <w:tcPr>
            <w:tcW w:type="dxa" w:w="2160"/>
          </w:tcPr>
          <w:p>
            <w:r>
              <w:t>Annex II Nr. 4</w:t>
            </w:r>
          </w:p>
        </w:tc>
        <w:tc>
          <w:tcPr>
            <w:tcW w:type="dxa" w:w="2160"/>
          </w:tcPr>
          <w:p>
            <w:r>
              <w:t>Art.7</w:t>
            </w:r>
          </w:p>
        </w:tc>
        <w:tc>
          <w:tcPr>
            <w:tcW w:type="dxa" w:w="2160"/>
          </w:tcPr>
          <w:p>
            <w:r>
              <w:t>Art. 12</w:t>
            </w:r>
          </w:p>
        </w:tc>
      </w:tr>
      <w:tr>
        <w:tc>
          <w:tcPr>
            <w:tcW w:type="dxa" w:w="2160"/>
          </w:tcPr>
          <w:p>
            <w:r>
              <w:t>Art. 17</w:t>
            </w:r>
          </w:p>
        </w:tc>
        <w:tc>
          <w:tcPr>
            <w:tcW w:type="dxa" w:w="2160"/>
          </w:tcPr>
          <w:p>
            <w:r>
              <w:t>Annex II Nr. 5</w:t>
            </w:r>
          </w:p>
        </w:tc>
        <w:tc>
          <w:tcPr>
            <w:tcW w:type="dxa" w:w="2160"/>
          </w:tcPr>
          <w:p>
            <w:r>
              <w:t>Art.7</w:t>
            </w:r>
          </w:p>
        </w:tc>
        <w:tc>
          <w:tcPr>
            <w:tcW w:type="dxa" w:w="2160"/>
          </w:tcPr>
          <w:p>
            <w:r>
              <w:t>Art. 13</w:t>
            </w:r>
          </w:p>
        </w:tc>
      </w:tr>
      <w:tr>
        <w:tc>
          <w:tcPr>
            <w:tcW w:type="dxa" w:w="2160"/>
          </w:tcPr>
          <w:p>
            <w:r>
              <w:t>Art. 18</w:t>
            </w:r>
          </w:p>
        </w:tc>
        <w:tc>
          <w:tcPr>
            <w:tcW w:type="dxa" w:w="2160"/>
          </w:tcPr>
          <w:p>
            <w:r>
              <w:t>Annex II Nr. 6</w:t>
            </w:r>
          </w:p>
        </w:tc>
        <w:tc>
          <w:tcPr>
            <w:tcW w:type="dxa" w:w="2160"/>
          </w:tcPr>
          <w:p>
            <w:r>
              <w:t>Art. 7</w:t>
            </w:r>
          </w:p>
        </w:tc>
        <w:tc>
          <w:tcPr>
            <w:tcW w:type="dxa" w:w="2160"/>
          </w:tcPr>
          <w:p>
            <w:r>
              <w:t>Art. 14</w:t>
            </w:r>
          </w:p>
        </w:tc>
      </w:tr>
      <w:tr>
        <w:tc>
          <w:tcPr>
            <w:tcW w:type="dxa" w:w="2160"/>
          </w:tcPr>
          <w:p>
            <w:r>
              <w:t>Art. 19</w:t>
            </w:r>
          </w:p>
        </w:tc>
        <w:tc>
          <w:tcPr>
            <w:tcW w:type="dxa" w:w="2160"/>
          </w:tcPr>
          <w:p>
            <w:r>
              <w:t>Art. 16</w:t>
            </w:r>
          </w:p>
        </w:tc>
        <w:tc>
          <w:tcPr>
            <w:tcW w:type="dxa" w:w="2160"/>
          </w:tcPr>
          <w:p>
            <w:r>
              <w:t>-</w:t>
            </w:r>
          </w:p>
        </w:tc>
        <w:tc>
          <w:tcPr>
            <w:tcW w:type="dxa" w:w="2160"/>
          </w:tcPr>
          <w:p>
            <w:r>
              <w:t>Art. 34</w:t>
            </w:r>
          </w:p>
        </w:tc>
      </w:tr>
      <w:tr>
        <w:tc>
          <w:tcPr>
            <w:tcW w:type="dxa" w:w="2160"/>
          </w:tcPr>
          <w:p>
            <w:r>
              <w:t>Art. 20</w:t>
            </w:r>
          </w:p>
        </w:tc>
        <w:tc>
          <w:tcPr>
            <w:tcW w:type="dxa" w:w="2160"/>
          </w:tcPr>
          <w:p>
            <w:r>
              <w:t>Art. 16</w:t>
            </w:r>
          </w:p>
        </w:tc>
        <w:tc>
          <w:tcPr>
            <w:tcW w:type="dxa" w:w="2160"/>
          </w:tcPr>
          <w:p>
            <w:r>
              <w:t>-</w:t>
            </w:r>
          </w:p>
        </w:tc>
        <w:tc>
          <w:tcPr>
            <w:tcW w:type="dxa" w:w="2160"/>
          </w:tcPr>
          <w:p>
            <w:r>
              <w:t>Art. 35</w:t>
            </w:r>
          </w:p>
        </w:tc>
      </w:tr>
      <w:tr>
        <w:tc>
          <w:tcPr>
            <w:tcW w:type="dxa" w:w="2160"/>
          </w:tcPr>
          <w:p>
            <w:r>
              <w:t>Art. 21</w:t>
            </w:r>
          </w:p>
        </w:tc>
        <w:tc>
          <w:tcPr>
            <w:tcW w:type="dxa" w:w="2160"/>
          </w:tcPr>
          <w:p>
            <w:r>
              <w:t>Art. 26</w:t>
            </w:r>
          </w:p>
        </w:tc>
        <w:tc>
          <w:tcPr>
            <w:tcW w:type="dxa" w:w="2160"/>
          </w:tcPr>
          <w:p>
            <w:r>
              <w:t>Art. 19</w:t>
            </w:r>
          </w:p>
        </w:tc>
        <w:tc>
          <w:tcPr>
            <w:tcW w:type="dxa" w:w="2160"/>
          </w:tcPr>
          <w:p>
            <w:r>
              <w:t>Art. 37</w:t>
            </w:r>
          </w:p>
        </w:tc>
      </w:tr>
      <w:tr>
        <w:tc>
          <w:tcPr>
            <w:tcW w:type="dxa" w:w="2160"/>
          </w:tcPr>
          <w:p>
            <w:r>
              <w:t>Art. 22</w:t>
            </w:r>
          </w:p>
        </w:tc>
        <w:tc>
          <w:tcPr>
            <w:tcW w:type="dxa" w:w="2160"/>
          </w:tcPr>
          <w:p>
            <w:r>
              <w:t>Art. 26 Para. 2</w:t>
            </w:r>
          </w:p>
        </w:tc>
        <w:tc>
          <w:tcPr>
            <w:tcW w:type="dxa" w:w="2160"/>
          </w:tcPr>
          <w:p>
            <w:r>
              <w:t>Art. 19 Para. 2</w:t>
            </w:r>
          </w:p>
        </w:tc>
        <w:tc>
          <w:tcPr>
            <w:tcW w:type="dxa" w:w="2160"/>
          </w:tcPr>
          <w:p>
            <w:r>
              <w:t>Art. 37 Para. 2</w:t>
            </w:r>
          </w:p>
        </w:tc>
      </w:tr>
      <w:tr>
        <w:tc>
          <w:tcPr>
            <w:tcW w:type="dxa" w:w="2160"/>
          </w:tcPr>
          <w:p>
            <w:r>
              <w:t>Art. 23</w:t>
            </w:r>
          </w:p>
        </w:tc>
        <w:tc>
          <w:tcPr>
            <w:tcW w:type="dxa" w:w="2160"/>
          </w:tcPr>
          <w:p>
            <w:r>
              <w:t>Recital 63, Art. 38 Para. 2, 3</w:t>
            </w:r>
          </w:p>
        </w:tc>
        <w:tc>
          <w:tcPr>
            <w:tcW w:type="dxa" w:w="2160"/>
          </w:tcPr>
          <w:p>
            <w:r>
              <w:t>Art. 63</w:t>
            </w:r>
          </w:p>
        </w:tc>
        <w:tc>
          <w:tcPr>
            <w:tcW w:type="dxa" w:w="2160"/>
          </w:tcPr>
          <w:p>
            <w:r>
              <w:t>Art. 79</w:t>
            </w:r>
          </w:p>
        </w:tc>
      </w:tr>
      <w:tr>
        <w:tc>
          <w:tcPr>
            <w:tcW w:type="dxa" w:w="2160"/>
          </w:tcPr>
          <w:p>
            <w:r>
              <w:t>Art. 24</w:t>
            </w:r>
          </w:p>
        </w:tc>
        <w:tc>
          <w:tcPr>
            <w:tcW w:type="dxa" w:w="2160"/>
          </w:tcPr>
          <w:p>
            <w:r>
              <w:t>Art. 42</w:t>
            </w:r>
          </w:p>
        </w:tc>
        <w:tc>
          <w:tcPr>
            <w:tcW w:type="dxa" w:w="2160"/>
          </w:tcPr>
          <w:p>
            <w:r>
              <w:t>Art. 71</w:t>
            </w:r>
          </w:p>
        </w:tc>
        <w:tc>
          <w:tcPr>
            <w:tcW w:type="dxa" w:w="2160"/>
          </w:tcPr>
          <w:p>
            <w:r>
              <w:t>Art. 88</w:t>
            </w:r>
          </w:p>
        </w:tc>
      </w:tr>
      <w:tr>
        <w:tc>
          <w:tcPr>
            <w:tcW w:type="dxa" w:w="2160"/>
          </w:tcPr>
          <w:p>
            <w:r>
              <w:t>Art. 25</w:t>
            </w:r>
          </w:p>
        </w:tc>
        <w:tc>
          <w:tcPr>
            <w:tcW w:type="dxa" w:w="2160"/>
          </w:tcPr>
          <w:p>
            <w:r>
              <w:t>Art. 38 Para. 4, 5</w:t>
            </w:r>
          </w:p>
        </w:tc>
        <w:tc>
          <w:tcPr>
            <w:tcW w:type="dxa" w:w="2160"/>
          </w:tcPr>
          <w:p>
            <w:r>
              <w:t>Art. 57 Para. 1, 2</w:t>
            </w:r>
          </w:p>
        </w:tc>
        <w:tc>
          <w:tcPr>
            <w:tcW w:type="dxa" w:w="2160"/>
          </w:tcPr>
          <w:p>
            <w:r>
              <w:t>Art. 80</w:t>
            </w:r>
          </w:p>
        </w:tc>
      </w:tr>
      <w:tr>
        <w:tc>
          <w:tcPr>
            <w:tcW w:type="dxa" w:w="2160"/>
          </w:tcPr>
          <w:p>
            <w:r>
              <w:t>Art. 26</w:t>
            </w:r>
          </w:p>
        </w:tc>
        <w:tc>
          <w:tcPr>
            <w:tcW w:type="dxa" w:w="2160"/>
          </w:tcPr>
          <w:p>
            <w:r>
              <w:t>Art. 38 Para. 7</w:t>
            </w:r>
          </w:p>
        </w:tc>
        <w:tc>
          <w:tcPr>
            <w:tcW w:type="dxa" w:w="2160"/>
          </w:tcPr>
          <w:p>
            <w:r>
              <w:t>Art. 57 Para. 4</w:t>
            </w:r>
          </w:p>
        </w:tc>
        <w:tc>
          <w:tcPr>
            <w:tcW w:type="dxa" w:w="2160"/>
          </w:tcPr>
          <w:p>
            <w:r>
              <w:t>Art. 80</w:t>
            </w:r>
          </w:p>
        </w:tc>
      </w:tr>
      <w:tr>
        <w:tc>
          <w:tcPr>
            <w:tcW w:type="dxa" w:w="2160"/>
          </w:tcPr>
          <w:p>
            <w:r>
              <w:t>Art. 27</w:t>
            </w:r>
          </w:p>
        </w:tc>
        <w:tc>
          <w:tcPr>
            <w:tcW w:type="dxa" w:w="2160"/>
          </w:tcPr>
          <w:p>
            <w:r>
              <w:t>Art. 41</w:t>
            </w:r>
          </w:p>
        </w:tc>
        <w:tc>
          <w:tcPr>
            <w:tcW w:type="dxa" w:w="2160"/>
          </w:tcPr>
          <w:p>
            <w:r>
              <w:t>Art. 58</w:t>
            </w:r>
          </w:p>
        </w:tc>
        <w:tc>
          <w:tcPr>
            <w:tcW w:type="dxa" w:w="2160"/>
          </w:tcPr>
          <w:p>
            <w:r>
              <w:t>Art. 80 Para. 2</w:t>
            </w:r>
          </w:p>
        </w:tc>
      </w:tr>
      <w:tr>
        <w:tc>
          <w:tcPr>
            <w:tcW w:type="dxa" w:w="2160"/>
          </w:tcPr>
          <w:p>
            <w:r>
              <w:t>Art. 28</w:t>
            </w:r>
          </w:p>
        </w:tc>
        <w:tc>
          <w:tcPr>
            <w:tcW w:type="dxa" w:w="2160"/>
          </w:tcPr>
          <w:p>
            <w:r>
              <w:t>Art. 38 Para. 1, 9</w:t>
            </w:r>
          </w:p>
        </w:tc>
        <w:tc>
          <w:tcPr>
            <w:tcW w:type="dxa" w:w="2160"/>
          </w:tcPr>
          <w:p>
            <w:r>
              <w:t>Art. 60</w:t>
            </w:r>
          </w:p>
        </w:tc>
        <w:tc>
          <w:tcPr>
            <w:tcW w:type="dxa" w:w="2160"/>
          </w:tcPr>
          <w:p>
            <w:r>
              <w:t>Art. 62</w:t>
            </w:r>
          </w:p>
        </w:tc>
      </w:tr>
      <w:tr>
        <w:tc>
          <w:tcPr>
            <w:tcW w:type="dxa" w:w="2160"/>
          </w:tcPr>
          <w:p>
            <w:r>
              <w:t>Art. 29</w:t>
            </w:r>
          </w:p>
        </w:tc>
        <w:tc>
          <w:tcPr>
            <w:tcW w:type="dxa" w:w="2160"/>
          </w:tcPr>
          <w:p>
            <w:r>
              <w:t>-</w:t>
            </w:r>
          </w:p>
        </w:tc>
        <w:tc>
          <w:tcPr>
            <w:tcW w:type="dxa" w:w="2160"/>
          </w:tcPr>
          <w:p>
            <w:r>
              <w:t>-</w:t>
            </w:r>
          </w:p>
        </w:tc>
        <w:tc>
          <w:tcPr>
            <w:tcW w:type="dxa" w:w="2160"/>
          </w:tcPr>
          <w:p>
            <w:r>
              <w:t>-</w:t>
            </w:r>
          </w:p>
        </w:tc>
      </w:tr>
      <w:tr>
        <w:tc>
          <w:tcPr>
            <w:tcW w:type="dxa" w:w="2160"/>
          </w:tcPr>
          <w:p>
            <w:r>
              <w:t>Art. 30</w:t>
            </w:r>
          </w:p>
        </w:tc>
        <w:tc>
          <w:tcPr>
            <w:tcW w:type="dxa" w:w="2160"/>
          </w:tcPr>
          <w:p>
            <w:r>
              <w:t>-</w:t>
            </w:r>
          </w:p>
        </w:tc>
        <w:tc>
          <w:tcPr>
            <w:tcW w:type="dxa" w:w="2160"/>
          </w:tcPr>
          <w:p>
            <w:r>
              <w:t>Art. 40</w:t>
            </w:r>
          </w:p>
        </w:tc>
        <w:tc>
          <w:tcPr>
            <w:tcW w:type="dxa" w:w="2160"/>
          </w:tcPr>
          <w:p>
            <w:r>
              <w:t>Art. 58</w:t>
            </w:r>
          </w:p>
        </w:tc>
      </w:tr>
      <w:tr>
        <w:tc>
          <w:tcPr>
            <w:tcW w:type="dxa" w:w="2160"/>
          </w:tcPr>
          <w:p>
            <w:r>
              <w:t>Art. 31</w:t>
            </w:r>
          </w:p>
        </w:tc>
        <w:tc>
          <w:tcPr>
            <w:tcW w:type="dxa" w:w="2160"/>
          </w:tcPr>
          <w:p>
            <w:r>
              <w:t>-</w:t>
            </w:r>
          </w:p>
        </w:tc>
        <w:tc>
          <w:tcPr>
            <w:tcW w:type="dxa" w:w="2160"/>
          </w:tcPr>
          <w:p>
            <w:r>
              <w:t>Art. 26</w:t>
            </w:r>
          </w:p>
        </w:tc>
        <w:tc>
          <w:tcPr>
            <w:tcW w:type="dxa" w:w="2160"/>
          </w:tcPr>
          <w:p>
            <w:r>
              <w:t>Art. 44</w:t>
            </w:r>
          </w:p>
        </w:tc>
      </w:tr>
      <w:tr>
        <w:tc>
          <w:tcPr>
            <w:tcW w:type="dxa" w:w="2160"/>
          </w:tcPr>
          <w:p>
            <w:r>
              <w:t>Art. 32</w:t>
            </w:r>
          </w:p>
        </w:tc>
        <w:tc>
          <w:tcPr>
            <w:tcW w:type="dxa" w:w="2160"/>
          </w:tcPr>
          <w:p>
            <w:r>
              <w:t>Art. 8 Para. 2, 3</w:t>
            </w:r>
          </w:p>
        </w:tc>
        <w:tc>
          <w:tcPr>
            <w:tcW w:type="dxa" w:w="2160"/>
          </w:tcPr>
          <w:p>
            <w:r>
              <w:t>Art. 5</w:t>
            </w:r>
          </w:p>
        </w:tc>
        <w:tc>
          <w:tcPr>
            <w:tcW w:type="dxa" w:w="2160"/>
          </w:tcPr>
          <w:p>
            <w:r>
              <w:t>Art. 16</w:t>
            </w:r>
          </w:p>
        </w:tc>
      </w:tr>
      <w:tr>
        <w:tc>
          <w:tcPr>
            <w:tcW w:type="dxa" w:w="2160"/>
          </w:tcPr>
          <w:p>
            <w:r>
              <w:t>Art. 33</w:t>
            </w:r>
          </w:p>
        </w:tc>
        <w:tc>
          <w:tcPr>
            <w:tcW w:type="dxa" w:w="2160"/>
          </w:tcPr>
          <w:p>
            <w:r>
              <w:t>-</w:t>
            </w:r>
          </w:p>
        </w:tc>
        <w:tc>
          <w:tcPr>
            <w:tcW w:type="dxa" w:w="2160"/>
          </w:tcPr>
          <w:p>
            <w:r>
              <w:t>Art. 26 Para. 3 to 6</w:t>
            </w:r>
          </w:p>
        </w:tc>
        <w:tc>
          <w:tcPr>
            <w:tcW w:type="dxa" w:w="2160"/>
          </w:tcPr>
          <w:p>
            <w:r>
              <w:t>-</w:t>
            </w:r>
          </w:p>
        </w:tc>
      </w:tr>
      <w:tr>
        <w:tc>
          <w:tcPr>
            <w:tcW w:type="dxa" w:w="2160"/>
          </w:tcPr>
          <w:p>
            <w:r>
              <w:t>Art. 34</w:t>
            </w:r>
          </w:p>
        </w:tc>
        <w:tc>
          <w:tcPr>
            <w:tcW w:type="dxa" w:w="2160"/>
          </w:tcPr>
          <w:p>
            <w:r>
              <w:t>-</w:t>
            </w:r>
          </w:p>
        </w:tc>
        <w:tc>
          <w:tcPr>
            <w:tcW w:type="dxa" w:w="2160"/>
          </w:tcPr>
          <w:p>
            <w:r>
              <w:t>Art. 29, 32</w:t>
            </w:r>
          </w:p>
        </w:tc>
        <w:tc>
          <w:tcPr>
            <w:tcW w:type="dxa" w:w="2160"/>
          </w:tcPr>
          <w:p>
            <w:r>
              <w:t>Art. 45</w:t>
            </w:r>
          </w:p>
        </w:tc>
      </w:tr>
      <w:tr>
        <w:tc>
          <w:tcPr>
            <w:tcW w:type="dxa" w:w="2160"/>
          </w:tcPr>
          <w:p>
            <w:r>
              <w:t>Art. 35</w:t>
            </w:r>
          </w:p>
        </w:tc>
        <w:tc>
          <w:tcPr>
            <w:tcW w:type="dxa" w:w="2160"/>
          </w:tcPr>
          <w:p>
            <w:r>
              <w:t>Art. 37 Para. 1</w:t>
            </w:r>
          </w:p>
        </w:tc>
        <w:tc>
          <w:tcPr>
            <w:tcW w:type="dxa" w:w="2160"/>
          </w:tcPr>
          <w:p>
            <w:r>
              <w:t>Art. 67 Para. 1</w:t>
            </w:r>
          </w:p>
        </w:tc>
        <w:tc>
          <w:tcPr>
            <w:tcW w:type="dxa" w:w="2160"/>
          </w:tcPr>
          <w:p>
            <w:r>
              <w:t>Art. 82</w:t>
            </w:r>
          </w:p>
        </w:tc>
      </w:tr>
      <w:tr>
        <w:tc>
          <w:tcPr>
            <w:tcW w:type="dxa" w:w="2160"/>
          </w:tcPr>
          <w:p>
            <w:r>
              <w:t>Art. 36</w:t>
            </w:r>
          </w:p>
        </w:tc>
        <w:tc>
          <w:tcPr>
            <w:tcW w:type="dxa" w:w="2160"/>
          </w:tcPr>
          <w:p>
            <w:r>
              <w:t>-</w:t>
            </w:r>
          </w:p>
        </w:tc>
        <w:tc>
          <w:tcPr>
            <w:tcW w:type="dxa" w:w="2160"/>
          </w:tcPr>
          <w:p>
            <w:r>
              <w:t>-</w:t>
            </w:r>
          </w:p>
        </w:tc>
        <w:tc>
          <w:tcPr>
            <w:tcW w:type="dxa" w:w="2160"/>
          </w:tcPr>
          <w:p>
            <w:r>
              <w:t>-</w:t>
            </w:r>
          </w:p>
        </w:tc>
      </w:tr>
      <w:tr>
        <w:tc>
          <w:tcPr>
            <w:tcW w:type="dxa" w:w="2160"/>
          </w:tcPr>
          <w:p>
            <w:r>
              <w:t>Art. 37</w:t>
            </w:r>
          </w:p>
        </w:tc>
        <w:tc>
          <w:tcPr>
            <w:tcW w:type="dxa" w:w="2160"/>
          </w:tcPr>
          <w:p>
            <w:r>
              <w:t>-</w:t>
            </w:r>
          </w:p>
        </w:tc>
        <w:tc>
          <w:tcPr>
            <w:tcW w:type="dxa" w:w="2160"/>
          </w:tcPr>
          <w:p>
            <w:r>
              <w:t>-</w:t>
            </w:r>
          </w:p>
        </w:tc>
        <w:tc>
          <w:tcPr>
            <w:tcW w:type="dxa" w:w="2160"/>
          </w:tcPr>
          <w:p>
            <w:r>
              <w:t>-</w:t>
            </w:r>
          </w:p>
        </w:tc>
      </w:tr>
      <w:tr>
        <w:tc>
          <w:tcPr>
            <w:tcW w:type="dxa" w:w="2160"/>
          </w:tcPr>
          <w:p>
            <w:r>
              <w:t>Art. 38</w:t>
            </w:r>
          </w:p>
        </w:tc>
        <w:tc>
          <w:tcPr>
            <w:tcW w:type="dxa" w:w="2160"/>
          </w:tcPr>
          <w:p>
            <w:r>
              <w:t>-</w:t>
            </w:r>
          </w:p>
        </w:tc>
        <w:tc>
          <w:tcPr>
            <w:tcW w:type="dxa" w:w="2160"/>
          </w:tcPr>
          <w:p>
            <w:r>
              <w:t>-</w:t>
            </w:r>
          </w:p>
        </w:tc>
        <w:tc>
          <w:tcPr>
            <w:tcW w:type="dxa" w:w="2160"/>
          </w:tcPr>
          <w:p>
            <w:r>
              <w:t>-</w:t>
            </w:r>
          </w:p>
        </w:tc>
      </w:tr>
      <w:tr>
        <w:tc>
          <w:tcPr>
            <w:tcW w:type="dxa" w:w="2160"/>
          </w:tcPr>
          <w:p>
            <w:r>
              <w:t>Art. 39</w:t>
            </w:r>
          </w:p>
        </w:tc>
        <w:tc>
          <w:tcPr>
            <w:tcW w:type="dxa" w:w="2160"/>
          </w:tcPr>
          <w:p>
            <w:r>
              <w:t>-</w:t>
            </w:r>
          </w:p>
        </w:tc>
        <w:tc>
          <w:tcPr>
            <w:tcW w:type="dxa" w:w="2160"/>
          </w:tcPr>
          <w:p>
            <w:r>
              <w:t>-</w:t>
            </w:r>
          </w:p>
        </w:tc>
        <w:tc>
          <w:tcPr>
            <w:tcW w:type="dxa" w:w="2160"/>
          </w:tcPr>
          <w:p>
            <w:r>
              <w:t>-</w:t>
            </w:r>
          </w:p>
        </w:tc>
      </w:tr>
      <w:tr>
        <w:tc>
          <w:tcPr>
            <w:tcW w:type="dxa" w:w="2160"/>
          </w:tcPr>
          <w:p>
            <w:r>
              <w:t>Art. 40</w:t>
            </w:r>
          </w:p>
        </w:tc>
        <w:tc>
          <w:tcPr>
            <w:tcW w:type="dxa" w:w="2160"/>
          </w:tcPr>
          <w:p>
            <w:r>
              <w:t>-</w:t>
            </w:r>
          </w:p>
        </w:tc>
        <w:tc>
          <w:tcPr>
            <w:tcW w:type="dxa" w:w="2160"/>
          </w:tcPr>
          <w:p>
            <w:r>
              <w:t>-</w:t>
            </w:r>
          </w:p>
        </w:tc>
        <w:tc>
          <w:tcPr>
            <w:tcW w:type="dxa" w:w="2160"/>
          </w:tcPr>
          <w:p>
            <w:r>
              <w:t>-</w:t>
            </w:r>
          </w:p>
        </w:tc>
      </w:tr>
      <w:tr>
        <w:tc>
          <w:tcPr>
            <w:tcW w:type="dxa" w:w="2160"/>
          </w:tcPr>
          <w:p>
            <w:r>
              <w:t>Art. 41</w:t>
            </w:r>
          </w:p>
        </w:tc>
        <w:tc>
          <w:tcPr>
            <w:tcW w:type="dxa" w:w="2160"/>
          </w:tcPr>
          <w:p>
            <w:r>
              <w:t>-</w:t>
            </w:r>
          </w:p>
        </w:tc>
        <w:tc>
          <w:tcPr>
            <w:tcW w:type="dxa" w:w="2160"/>
          </w:tcPr>
          <w:p>
            <w:r>
              <w:t>Art. 31 Para. 1, 4</w:t>
            </w:r>
          </w:p>
        </w:tc>
        <w:tc>
          <w:tcPr>
            <w:tcW w:type="dxa" w:w="2160"/>
          </w:tcPr>
          <w:p>
            <w:r>
              <w:t>Art. 49</w:t>
            </w:r>
          </w:p>
        </w:tc>
      </w:tr>
      <w:tr>
        <w:tc>
          <w:tcPr>
            <w:tcW w:type="dxa" w:w="2160"/>
          </w:tcPr>
          <w:p>
            <w:r>
              <w:t>Art. 42</w:t>
            </w:r>
          </w:p>
        </w:tc>
        <w:tc>
          <w:tcPr>
            <w:tcW w:type="dxa" w:w="2160"/>
          </w:tcPr>
          <w:p>
            <w:r>
              <w:t>-</w:t>
            </w:r>
          </w:p>
        </w:tc>
        <w:tc>
          <w:tcPr>
            <w:tcW w:type="dxa" w:w="2160"/>
          </w:tcPr>
          <w:p>
            <w:r>
              <w:t>Art. 31</w:t>
            </w:r>
          </w:p>
        </w:tc>
        <w:tc>
          <w:tcPr>
            <w:tcW w:type="dxa" w:w="2160"/>
          </w:tcPr>
          <w:p>
            <w:r>
              <w:t>Art. 49</w:t>
            </w:r>
          </w:p>
        </w:tc>
      </w:tr>
      <w:tr>
        <w:tc>
          <w:tcPr>
            <w:tcW w:type="dxa" w:w="2160"/>
          </w:tcPr>
          <w:p>
            <w:r>
              <w:t>Art. 43</w:t>
            </w:r>
          </w:p>
        </w:tc>
        <w:tc>
          <w:tcPr>
            <w:tcW w:type="dxa" w:w="2160"/>
          </w:tcPr>
          <w:p>
            <w:r>
              <w:t>-</w:t>
            </w:r>
          </w:p>
        </w:tc>
        <w:tc>
          <w:tcPr>
            <w:tcW w:type="dxa" w:w="2160"/>
          </w:tcPr>
          <w:p>
            <w:r>
              <w:t>Art. 31 Para. 2</w:t>
            </w:r>
          </w:p>
        </w:tc>
        <w:tc>
          <w:tcPr>
            <w:tcW w:type="dxa" w:w="2160"/>
          </w:tcPr>
          <w:p>
            <w:r>
              <w:t>Art. 49</w:t>
            </w:r>
          </w:p>
        </w:tc>
      </w:tr>
      <w:tr>
        <w:tc>
          <w:tcPr>
            <w:tcW w:type="dxa" w:w="2160"/>
          </w:tcPr>
          <w:p>
            <w:r>
              <w:t>Art. 44</w:t>
            </w:r>
          </w:p>
        </w:tc>
        <w:tc>
          <w:tcPr>
            <w:tcW w:type="dxa" w:w="2160"/>
          </w:tcPr>
          <w:p>
            <w:r>
              <w:t>-</w:t>
            </w:r>
          </w:p>
        </w:tc>
        <w:tc>
          <w:tcPr>
            <w:tcW w:type="dxa" w:w="2160"/>
          </w:tcPr>
          <w:p>
            <w:r>
              <w:t>Art. 31 Para. 2</w:t>
            </w:r>
          </w:p>
        </w:tc>
        <w:tc>
          <w:tcPr>
            <w:tcW w:type="dxa" w:w="2160"/>
          </w:tcPr>
          <w:p>
            <w:r>
              <w:t>Art. 49</w:t>
            </w:r>
          </w:p>
        </w:tc>
      </w:tr>
      <w:tr>
        <w:tc>
          <w:tcPr>
            <w:tcW w:type="dxa" w:w="2160"/>
          </w:tcPr>
          <w:p>
            <w:r>
              <w:t>Art. 45</w:t>
            </w:r>
          </w:p>
        </w:tc>
        <w:tc>
          <w:tcPr>
            <w:tcW w:type="dxa" w:w="2160"/>
          </w:tcPr>
          <w:p>
            <w:r>
              <w:t>-</w:t>
            </w:r>
          </w:p>
        </w:tc>
        <w:tc>
          <w:tcPr>
            <w:tcW w:type="dxa" w:w="2160"/>
          </w:tcPr>
          <w:p>
            <w:r>
              <w:t>Art. 31</w:t>
            </w:r>
          </w:p>
        </w:tc>
        <w:tc>
          <w:tcPr>
            <w:tcW w:type="dxa" w:w="2160"/>
          </w:tcPr>
          <w:p>
            <w:r>
              <w:t>Art. 49</w:t>
            </w:r>
          </w:p>
        </w:tc>
      </w:tr>
      <w:tr>
        <w:tc>
          <w:tcPr>
            <w:tcW w:type="dxa" w:w="2160"/>
          </w:tcPr>
          <w:p>
            <w:r>
              <w:t>Art. 46</w:t>
            </w:r>
          </w:p>
        </w:tc>
        <w:tc>
          <w:tcPr>
            <w:tcW w:type="dxa" w:w="2160"/>
          </w:tcPr>
          <w:p>
            <w:r>
              <w:t>-</w:t>
            </w:r>
          </w:p>
        </w:tc>
        <w:tc>
          <w:tcPr>
            <w:tcW w:type="dxa" w:w="2160"/>
          </w:tcPr>
          <w:p>
            <w:r>
              <w:t>Art. 32</w:t>
            </w:r>
          </w:p>
        </w:tc>
        <w:tc>
          <w:tcPr>
            <w:tcW w:type="dxa" w:w="2160"/>
          </w:tcPr>
          <w:p>
            <w:r>
              <w:t>Art. 50</w:t>
            </w:r>
          </w:p>
        </w:tc>
      </w:tr>
      <w:tr>
        <w:tc>
          <w:tcPr>
            <w:tcW w:type="dxa" w:w="2160"/>
          </w:tcPr>
          <w:p>
            <w:r>
              <w:t>Art. 47</w:t>
            </w:r>
          </w:p>
        </w:tc>
        <w:tc>
          <w:tcPr>
            <w:tcW w:type="dxa" w:w="2160"/>
          </w:tcPr>
          <w:p>
            <w:r>
              <w:t>-</w:t>
            </w:r>
          </w:p>
        </w:tc>
        <w:tc>
          <w:tcPr>
            <w:tcW w:type="dxa" w:w="2160"/>
          </w:tcPr>
          <w:p>
            <w:r>
              <w:t>Art. 32</w:t>
            </w:r>
          </w:p>
        </w:tc>
        <w:tc>
          <w:tcPr>
            <w:tcW w:type="dxa" w:w="2160"/>
          </w:tcPr>
          <w:p>
            <w:r>
              <w:t>Art. 50</w:t>
            </w:r>
          </w:p>
        </w:tc>
      </w:tr>
      <w:tr>
        <w:tc>
          <w:tcPr>
            <w:tcW w:type="dxa" w:w="2160"/>
          </w:tcPr>
          <w:p>
            <w:r>
              <w:t>Art. 48</w:t>
            </w:r>
          </w:p>
        </w:tc>
        <w:tc>
          <w:tcPr>
            <w:tcW w:type="dxa" w:w="2160"/>
          </w:tcPr>
          <w:p>
            <w:r>
              <w:t>-</w:t>
            </w:r>
          </w:p>
        </w:tc>
        <w:tc>
          <w:tcPr>
            <w:tcW w:type="dxa" w:w="2160"/>
          </w:tcPr>
          <w:p>
            <w:r>
              <w:t>Art. 32 (c)</w:t>
            </w:r>
          </w:p>
        </w:tc>
        <w:tc>
          <w:tcPr>
            <w:tcW w:type="dxa" w:w="2160"/>
          </w:tcPr>
          <w:p>
            <w:r>
              <w:t>Art. 50 (d)</w:t>
            </w:r>
          </w:p>
        </w:tc>
      </w:tr>
      <w:tr>
        <w:tc>
          <w:tcPr>
            <w:tcW w:type="dxa" w:w="2160"/>
          </w:tcPr>
          <w:p>
            <w:r>
              <w:t>Art. 49</w:t>
            </w:r>
          </w:p>
        </w:tc>
        <w:tc>
          <w:tcPr>
            <w:tcW w:type="dxa" w:w="2160"/>
          </w:tcPr>
          <w:p>
            <w:r>
              <w:t>-</w:t>
            </w:r>
          </w:p>
        </w:tc>
        <w:tc>
          <w:tcPr>
            <w:tcW w:type="dxa" w:w="2160"/>
          </w:tcPr>
          <w:p>
            <w:r>
              <w:t>Annex XII Part II (f)</w:t>
            </w:r>
          </w:p>
        </w:tc>
        <w:tc>
          <w:tcPr>
            <w:tcW w:type="dxa" w:w="2160"/>
          </w:tcPr>
          <w:p>
            <w:r>
              <w:t>Art. 77</w:t>
            </w:r>
          </w:p>
        </w:tc>
      </w:tr>
      <w:tr>
        <w:tc>
          <w:tcPr>
            <w:tcW w:type="dxa" w:w="2160"/>
          </w:tcPr>
          <w:p>
            <w:r>
              <w:t>Art. 50</w:t>
            </w:r>
          </w:p>
        </w:tc>
        <w:tc>
          <w:tcPr>
            <w:tcW w:type="dxa" w:w="2160"/>
          </w:tcPr>
          <w:p>
            <w:r>
              <w:t>Recital 55, Art. 30 Para. 3</w:t>
            </w:r>
          </w:p>
        </w:tc>
        <w:tc>
          <w:tcPr>
            <w:tcW w:type="dxa" w:w="2160"/>
          </w:tcPr>
          <w:p>
            <w:r>
              <w:t>Recital 37, Art. 68 Para. 1</w:t>
            </w:r>
          </w:p>
        </w:tc>
        <w:tc>
          <w:tcPr>
            <w:tcW w:type="dxa" w:w="2160"/>
          </w:tcPr>
          <w:p>
            <w:r>
              <w:t>Art. 36 Para. 2</w:t>
            </w:r>
          </w:p>
        </w:tc>
      </w:tr>
      <w:tr>
        <w:tc>
          <w:tcPr>
            <w:tcW w:type="dxa" w:w="2160"/>
          </w:tcPr>
          <w:p>
            <w:r>
              <w:t>Art. 51</w:t>
            </w:r>
          </w:p>
        </w:tc>
        <w:tc>
          <w:tcPr>
            <w:tcW w:type="dxa" w:w="2160"/>
          </w:tcPr>
          <w:p>
            <w:r>
              <w:t>-</w:t>
            </w:r>
          </w:p>
        </w:tc>
        <w:tc>
          <w:tcPr>
            <w:tcW w:type="dxa" w:w="2160"/>
          </w:tcPr>
          <w:p>
            <w:r>
              <w:t>-</w:t>
            </w:r>
          </w:p>
        </w:tc>
        <w:tc>
          <w:tcPr>
            <w:tcW w:type="dxa" w:w="2160"/>
          </w:tcPr>
          <w:p>
            <w:r>
              <w:t>-</w:t>
            </w:r>
          </w:p>
        </w:tc>
      </w:tr>
      <w:tr>
        <w:tc>
          <w:tcPr>
            <w:tcW w:type="dxa" w:w="2160"/>
          </w:tcPr>
          <w:p>
            <w:r>
              <w:t>Art. 52</w:t>
            </w:r>
          </w:p>
        </w:tc>
        <w:tc>
          <w:tcPr>
            <w:tcW w:type="dxa" w:w="2160"/>
          </w:tcPr>
          <w:p>
            <w:r>
              <w:t>-</w:t>
            </w:r>
          </w:p>
        </w:tc>
        <w:tc>
          <w:tcPr>
            <w:tcW w:type="dxa" w:w="2160"/>
          </w:tcPr>
          <w:p>
            <w:r>
              <w:t>Recital 97, Art. 68 Para 1 (a)(ii)</w:t>
            </w:r>
          </w:p>
        </w:tc>
        <w:tc>
          <w:tcPr>
            <w:tcW w:type="dxa" w:w="2160"/>
          </w:tcPr>
          <w:p>
            <w:r>
              <w:t>-</w:t>
            </w:r>
          </w:p>
        </w:tc>
      </w:tr>
      <w:tr>
        <w:tc>
          <w:tcPr>
            <w:tcW w:type="dxa" w:w="2160"/>
          </w:tcPr>
          <w:p>
            <w:r>
              <w:t>Art. 53</w:t>
            </w:r>
          </w:p>
        </w:tc>
        <w:tc>
          <w:tcPr>
            <w:tcW w:type="dxa" w:w="2160"/>
          </w:tcPr>
          <w:p>
            <w:r>
              <w:t>-</w:t>
            </w:r>
          </w:p>
        </w:tc>
        <w:tc>
          <w:tcPr>
            <w:tcW w:type="dxa" w:w="2160"/>
          </w:tcPr>
          <w:p>
            <w:r>
              <w:t>-</w:t>
            </w:r>
          </w:p>
        </w:tc>
        <w:tc>
          <w:tcPr>
            <w:tcW w:type="dxa" w:w="2160"/>
          </w:tcPr>
          <w:p>
            <w:r>
              <w:t>-</w:t>
            </w:r>
          </w:p>
        </w:tc>
      </w:tr>
      <w:tr>
        <w:tc>
          <w:tcPr>
            <w:tcW w:type="dxa" w:w="2160"/>
          </w:tcPr>
          <w:p>
            <w:r>
              <w:t>Art. 54</w:t>
            </w:r>
          </w:p>
        </w:tc>
        <w:tc>
          <w:tcPr>
            <w:tcW w:type="dxa" w:w="2160"/>
          </w:tcPr>
          <w:p>
            <w:r>
              <w:t>-</w:t>
            </w:r>
          </w:p>
        </w:tc>
        <w:tc>
          <w:tcPr>
            <w:tcW w:type="dxa" w:w="2160"/>
          </w:tcPr>
          <w:p>
            <w:r>
              <w:t>Recital 97</w:t>
            </w:r>
          </w:p>
        </w:tc>
        <w:tc>
          <w:tcPr>
            <w:tcW w:type="dxa" w:w="2160"/>
          </w:tcPr>
          <w:p>
            <w:r>
              <w:t>Art. 36 Para. 2</w:t>
            </w:r>
          </w:p>
        </w:tc>
      </w:tr>
      <w:tr>
        <w:tc>
          <w:tcPr>
            <w:tcW w:type="dxa" w:w="2160"/>
          </w:tcPr>
          <w:p>
            <w:r>
              <w:t>Art. 55</w:t>
            </w:r>
          </w:p>
        </w:tc>
        <w:tc>
          <w:tcPr>
            <w:tcW w:type="dxa" w:w="2160"/>
          </w:tcPr>
          <w:p>
            <w:r>
              <w:t>Recital 55, Art. 19</w:t>
            </w:r>
          </w:p>
        </w:tc>
        <w:tc>
          <w:tcPr>
            <w:tcW w:type="dxa" w:w="2160"/>
          </w:tcPr>
          <w:p>
            <w:r>
              <w:t>Recital 37</w:t>
            </w:r>
          </w:p>
        </w:tc>
        <w:tc>
          <w:tcPr>
            <w:tcW w:type="dxa" w:w="2160"/>
          </w:tcPr>
          <w:p>
            <w:r>
              <w:t>Art. 36 Para.2</w:t>
            </w:r>
          </w:p>
        </w:tc>
      </w:tr>
      <w:tr>
        <w:tc>
          <w:tcPr>
            <w:tcW w:type="dxa" w:w="2160"/>
          </w:tcPr>
          <w:p>
            <w:r>
              <w:t>Art. 56</w:t>
            </w:r>
          </w:p>
        </w:tc>
        <w:tc>
          <w:tcPr>
            <w:tcW w:type="dxa" w:w="2160"/>
          </w:tcPr>
          <w:p>
            <w:r>
              <w:t>Recital 66, Art. 36 Sub. 1</w:t>
            </w:r>
          </w:p>
        </w:tc>
        <w:tc>
          <w:tcPr>
            <w:tcW w:type="dxa" w:w="2160"/>
          </w:tcPr>
          <w:p>
            <w:r>
              <w:t>Recital 53</w:t>
            </w:r>
          </w:p>
        </w:tc>
        <w:tc>
          <w:tcPr>
            <w:tcW w:type="dxa" w:w="2160"/>
          </w:tcPr>
          <w:p>
            <w:r>
              <w:t>Art. 93 Para. 2</w:t>
            </w:r>
          </w:p>
        </w:tc>
      </w:tr>
      <w:tr>
        <w:tc>
          <w:tcPr>
            <w:tcW w:type="dxa" w:w="2160"/>
          </w:tcPr>
          <w:p>
            <w:r>
              <w:t>Art. 57</w:t>
            </w:r>
          </w:p>
        </w:tc>
        <w:tc>
          <w:tcPr>
            <w:tcW w:type="dxa" w:w="2160"/>
          </w:tcPr>
          <w:p>
            <w:r>
              <w:t>Art. 24</w:t>
            </w:r>
          </w:p>
        </w:tc>
        <w:tc>
          <w:tcPr>
            <w:tcW w:type="dxa" w:w="2160"/>
          </w:tcPr>
          <w:p>
            <w:r>
              <w:t>Art. 20</w:t>
            </w:r>
          </w:p>
        </w:tc>
        <w:tc>
          <w:tcPr>
            <w:tcW w:type="dxa" w:w="2160"/>
          </w:tcPr>
          <w:p>
            <w:r>
              <w:t>Art. 38</w:t>
            </w:r>
          </w:p>
        </w:tc>
      </w:tr>
      <w:tr>
        <w:tc>
          <w:tcPr>
            <w:tcW w:type="dxa" w:w="2160"/>
          </w:tcPr>
          <w:p>
            <w:r>
              <w:t>Art. 58</w:t>
            </w:r>
          </w:p>
        </w:tc>
        <w:tc>
          <w:tcPr>
            <w:tcW w:type="dxa" w:w="2160"/>
          </w:tcPr>
          <w:p>
            <w:r>
              <w:t>Art. 19, Annex IV</w:t>
            </w:r>
          </w:p>
        </w:tc>
        <w:tc>
          <w:tcPr>
            <w:tcW w:type="dxa" w:w="2160"/>
          </w:tcPr>
          <w:p>
            <w:r>
              <w:t>Art. 74</w:t>
            </w:r>
          </w:p>
        </w:tc>
        <w:tc>
          <w:tcPr>
            <w:tcW w:type="dxa" w:w="2160"/>
          </w:tcPr>
          <w:p>
            <w:r>
              <w:t>Art. 91</w:t>
            </w:r>
          </w:p>
        </w:tc>
      </w:tr>
      <w:tr>
        <w:tc>
          <w:tcPr>
            <w:tcW w:type="dxa" w:w="2160"/>
          </w:tcPr>
          <w:p>
            <w:r>
              <w:t>Art. 59</w:t>
            </w:r>
          </w:p>
        </w:tc>
        <w:tc>
          <w:tcPr>
            <w:tcW w:type="dxa" w:w="2160"/>
          </w:tcPr>
          <w:p>
            <w:r>
              <w:t>-</w:t>
            </w:r>
          </w:p>
        </w:tc>
        <w:tc>
          <w:tcPr>
            <w:tcW w:type="dxa" w:w="2160"/>
          </w:tcPr>
          <w:p>
            <w:r>
              <w:t>Art. 31</w:t>
            </w:r>
          </w:p>
        </w:tc>
        <w:tc>
          <w:tcPr>
            <w:tcW w:type="dxa" w:w="2160"/>
          </w:tcPr>
          <w:p>
            <w:r>
              <w:t>Art. 49 Para. 1</w:t>
            </w:r>
          </w:p>
        </w:tc>
      </w:tr>
      <w:tr>
        <w:tc>
          <w:tcPr>
            <w:tcW w:type="dxa" w:w="2160"/>
          </w:tcPr>
          <w:p>
            <w:r>
              <w:t>Art. 60</w:t>
            </w:r>
          </w:p>
        </w:tc>
        <w:tc>
          <w:tcPr>
            <w:tcW w:type="dxa" w:w="2160"/>
          </w:tcPr>
          <w:p>
            <w:r>
              <w:t>-</w:t>
            </w:r>
          </w:p>
        </w:tc>
        <w:tc>
          <w:tcPr>
            <w:tcW w:type="dxa" w:w="2160"/>
          </w:tcPr>
          <w:p>
            <w:r>
              <w:t>Art.2 Para.1 (22)</w:t>
            </w:r>
          </w:p>
        </w:tc>
        <w:tc>
          <w:tcPr>
            <w:tcW w:type="dxa" w:w="2160"/>
          </w:tcPr>
          <w:p>
            <w:r>
              <w:t>Art. 49 Para. 2</w:t>
            </w:r>
          </w:p>
        </w:tc>
      </w:tr>
      <w:tr>
        <w:tc>
          <w:tcPr>
            <w:tcW w:type="dxa" w:w="2160"/>
          </w:tcPr>
          <w:p>
            <w:r>
              <w:t>Art. 61</w:t>
            </w:r>
          </w:p>
        </w:tc>
        <w:tc>
          <w:tcPr>
            <w:tcW w:type="dxa" w:w="2160"/>
          </w:tcPr>
          <w:p>
            <w:r>
              <w:t>-</w:t>
            </w:r>
          </w:p>
        </w:tc>
        <w:tc>
          <w:tcPr>
            <w:tcW w:type="dxa" w:w="2160"/>
          </w:tcPr>
          <w:p>
            <w:r>
              <w:t>Recital 47</w:t>
            </w:r>
          </w:p>
        </w:tc>
        <w:tc>
          <w:tcPr>
            <w:tcW w:type="dxa" w:w="2160"/>
          </w:tcPr>
          <w:p>
            <w:r/>
          </w:p>
        </w:tc>
      </w:tr>
      <w:tr>
        <w:tc>
          <w:tcPr>
            <w:tcW w:type="dxa" w:w="2160"/>
          </w:tcPr>
          <w:p>
            <w:r>
              <w:t>Art. 62</w:t>
            </w:r>
          </w:p>
        </w:tc>
        <w:tc>
          <w:tcPr>
            <w:tcW w:type="dxa" w:w="2160"/>
          </w:tcPr>
          <w:p>
            <w:r>
              <w:t>-</w:t>
            </w:r>
          </w:p>
        </w:tc>
        <w:tc>
          <w:tcPr>
            <w:tcW w:type="dxa" w:w="2160"/>
          </w:tcPr>
          <w:p>
            <w:r>
              <w:t>Art. 31 Para. 6</w:t>
            </w:r>
          </w:p>
        </w:tc>
        <w:tc>
          <w:tcPr>
            <w:tcW w:type="dxa" w:w="2160"/>
          </w:tcPr>
          <w:p>
            <w:r>
              <w:t>Art. 49 Para. 6</w:t>
            </w:r>
          </w:p>
        </w:tc>
      </w:tr>
      <w:tr>
        <w:tc>
          <w:tcPr>
            <w:tcW w:type="dxa" w:w="2160"/>
          </w:tcPr>
          <w:p>
            <w:r>
              <w:t>Art. 63</w:t>
            </w:r>
          </w:p>
        </w:tc>
        <w:tc>
          <w:tcPr>
            <w:tcW w:type="dxa" w:w="2160"/>
          </w:tcPr>
          <w:p>
            <w:r>
              <w:t>-</w:t>
            </w:r>
          </w:p>
        </w:tc>
        <w:tc>
          <w:tcPr>
            <w:tcW w:type="dxa" w:w="2160"/>
          </w:tcPr>
          <w:p>
            <w:r>
              <w:t>Art. 31 Para. 6, Sub. 2</w:t>
            </w:r>
          </w:p>
        </w:tc>
        <w:tc>
          <w:tcPr>
            <w:tcW w:type="dxa" w:w="2160"/>
          </w:tcPr>
          <w:p>
            <w:r>
              <w:t>-</w:t>
            </w:r>
          </w:p>
        </w:tc>
      </w:tr>
      <w:tr>
        <w:tc>
          <w:tcPr>
            <w:tcW w:type="dxa" w:w="2160"/>
          </w:tcPr>
          <w:p>
            <w:r>
              <w:t>Art. 64</w:t>
            </w:r>
          </w:p>
        </w:tc>
        <w:tc>
          <w:tcPr>
            <w:tcW w:type="dxa" w:w="2160"/>
          </w:tcPr>
          <w:p>
            <w:r>
              <w:t>-</w:t>
            </w:r>
          </w:p>
        </w:tc>
        <w:tc>
          <w:tcPr>
            <w:tcW w:type="dxa" w:w="2160"/>
          </w:tcPr>
          <w:p>
            <w:r>
              <w:t>-</w:t>
            </w:r>
          </w:p>
        </w:tc>
        <w:tc>
          <w:tcPr>
            <w:tcW w:type="dxa" w:w="2160"/>
          </w:tcPr>
          <w:p>
            <w:r>
              <w:t>-</w:t>
            </w:r>
          </w:p>
        </w:tc>
      </w:tr>
      <w:tr>
        <w:tc>
          <w:tcPr>
            <w:tcW w:type="dxa" w:w="2160"/>
          </w:tcPr>
          <w:p>
            <w:r>
              <w:t>Art. 65</w:t>
            </w:r>
          </w:p>
        </w:tc>
        <w:tc>
          <w:tcPr>
            <w:tcW w:type="dxa" w:w="2160"/>
          </w:tcPr>
          <w:p>
            <w:r>
              <w:t>-</w:t>
            </w:r>
          </w:p>
        </w:tc>
        <w:tc>
          <w:tcPr>
            <w:tcW w:type="dxa" w:w="2160"/>
          </w:tcPr>
          <w:p>
            <w:r>
              <w:t>-</w:t>
            </w:r>
          </w:p>
        </w:tc>
        <w:tc>
          <w:tcPr>
            <w:tcW w:type="dxa" w:w="2160"/>
          </w:tcPr>
          <w:p>
            <w:r>
              <w:t>-</w:t>
            </w:r>
          </w:p>
        </w:tc>
      </w:tr>
      <w:tr>
        <w:tc>
          <w:tcPr>
            <w:tcW w:type="dxa" w:w="2160"/>
          </w:tcPr>
          <w:p>
            <w:r>
              <w:t>Art. 66</w:t>
            </w:r>
          </w:p>
        </w:tc>
        <w:tc>
          <w:tcPr>
            <w:tcW w:type="dxa" w:w="2160"/>
          </w:tcPr>
          <w:p>
            <w:r>
              <w:t>-</w:t>
            </w:r>
          </w:p>
        </w:tc>
        <w:tc>
          <w:tcPr>
            <w:tcW w:type="dxa" w:w="2160"/>
          </w:tcPr>
          <w:p>
            <w:r>
              <w:t>Recital 41</w:t>
            </w:r>
          </w:p>
        </w:tc>
        <w:tc>
          <w:tcPr>
            <w:tcW w:type="dxa" w:w="2160"/>
          </w:tcPr>
          <w:p>
            <w:r>
              <w:t>-</w:t>
            </w:r>
          </w:p>
        </w:tc>
      </w:tr>
      <w:tr>
        <w:tc>
          <w:tcPr>
            <w:tcW w:type="dxa" w:w="2160"/>
          </w:tcPr>
          <w:p>
            <w:r>
              <w:t>Art. 67</w:t>
            </w:r>
          </w:p>
        </w:tc>
        <w:tc>
          <w:tcPr>
            <w:tcW w:type="dxa" w:w="2160"/>
          </w:tcPr>
          <w:p>
            <w:r>
              <w:t>-</w:t>
            </w:r>
          </w:p>
        </w:tc>
        <w:tc>
          <w:tcPr>
            <w:tcW w:type="dxa" w:w="2160"/>
          </w:tcPr>
          <w:p>
            <w:r>
              <w:t>-</w:t>
            </w:r>
          </w:p>
        </w:tc>
        <w:tc>
          <w:tcPr>
            <w:tcW w:type="dxa" w:w="2160"/>
          </w:tcPr>
          <w:p>
            <w:r>
              <w:t>-</w:t>
            </w:r>
          </w:p>
        </w:tc>
      </w:tr>
      <w:tr>
        <w:tc>
          <w:tcPr>
            <w:tcW w:type="dxa" w:w="2160"/>
          </w:tcPr>
          <w:p>
            <w:r>
              <w:t>Art. 68</w:t>
            </w:r>
          </w:p>
        </w:tc>
        <w:tc>
          <w:tcPr>
            <w:tcW w:type="dxa" w:w="2160"/>
          </w:tcPr>
          <w:p>
            <w:r>
              <w:t>-</w:t>
            </w:r>
          </w:p>
        </w:tc>
        <w:tc>
          <w:tcPr>
            <w:tcW w:type="dxa" w:w="2160"/>
          </w:tcPr>
          <w:p>
            <w:r>
              <w:t>-</w:t>
            </w:r>
          </w:p>
        </w:tc>
        <w:tc>
          <w:tcPr>
            <w:tcW w:type="dxa" w:w="2160"/>
          </w:tcPr>
          <w:p>
            <w:r>
              <w:t>-</w:t>
            </w:r>
          </w:p>
        </w:tc>
      </w:tr>
      <w:tr>
        <w:tc>
          <w:tcPr>
            <w:tcW w:type="dxa" w:w="2160"/>
          </w:tcPr>
          <w:p>
            <w:r>
              <w:t>Art. 69</w:t>
            </w:r>
          </w:p>
        </w:tc>
        <w:tc>
          <w:tcPr>
            <w:tcW w:type="dxa" w:w="2160"/>
          </w:tcPr>
          <w:p>
            <w:r>
              <w:t>-</w:t>
            </w:r>
          </w:p>
        </w:tc>
        <w:tc>
          <w:tcPr>
            <w:tcW w:type="dxa" w:w="2160"/>
          </w:tcPr>
          <w:p>
            <w:r>
              <w:t>-</w:t>
            </w:r>
          </w:p>
        </w:tc>
        <w:tc>
          <w:tcPr>
            <w:tcW w:type="dxa" w:w="2160"/>
          </w:tcPr>
          <w:p>
            <w:r>
              <w:t>-</w:t>
            </w:r>
          </w:p>
        </w:tc>
      </w:tr>
      <w:tr>
        <w:tc>
          <w:tcPr>
            <w:tcW w:type="dxa" w:w="2160"/>
          </w:tcPr>
          <w:p>
            <w:r>
              <w:t>Art. 70</w:t>
            </w:r>
          </w:p>
        </w:tc>
        <w:tc>
          <w:tcPr>
            <w:tcW w:type="dxa" w:w="2160"/>
          </w:tcPr>
          <w:p>
            <w:r>
              <w:t>-</w:t>
            </w:r>
          </w:p>
        </w:tc>
        <w:tc>
          <w:tcPr>
            <w:tcW w:type="dxa" w:w="2160"/>
          </w:tcPr>
          <w:p>
            <w:r>
              <w:t>-</w:t>
            </w:r>
          </w:p>
        </w:tc>
        <w:tc>
          <w:tcPr>
            <w:tcW w:type="dxa" w:w="2160"/>
          </w:tcPr>
          <w:p>
            <w:r>
              <w:t>Art. 85 Para. 1</w:t>
            </w:r>
          </w:p>
        </w:tc>
      </w:tr>
      <w:tr>
        <w:tc>
          <w:tcPr>
            <w:tcW w:type="dxa" w:w="2160"/>
          </w:tcPr>
          <w:p>
            <w:r>
              <w:t>Art. 71</w:t>
            </w:r>
          </w:p>
        </w:tc>
        <w:tc>
          <w:tcPr>
            <w:tcW w:type="dxa" w:w="2160"/>
          </w:tcPr>
          <w:p>
            <w:r>
              <w:t>-</w:t>
            </w:r>
          </w:p>
        </w:tc>
        <w:tc>
          <w:tcPr>
            <w:tcW w:type="dxa" w:w="2160"/>
          </w:tcPr>
          <w:p>
            <w:r>
              <w:t>-</w:t>
            </w:r>
          </w:p>
        </w:tc>
        <w:tc>
          <w:tcPr>
            <w:tcW w:type="dxa" w:w="2160"/>
          </w:tcPr>
          <w:p>
            <w:r>
              <w:t>-</w:t>
            </w:r>
          </w:p>
        </w:tc>
      </w:tr>
      <w:tr>
        <w:tc>
          <w:tcPr>
            <w:tcW w:type="dxa" w:w="2160"/>
          </w:tcPr>
          <w:p>
            <w:r>
              <w:t>Art. 72</w:t>
            </w:r>
          </w:p>
        </w:tc>
        <w:tc>
          <w:tcPr>
            <w:tcW w:type="dxa" w:w="2160"/>
          </w:tcPr>
          <w:p>
            <w:r>
              <w:t>-</w:t>
            </w:r>
          </w:p>
        </w:tc>
        <w:tc>
          <w:tcPr>
            <w:tcW w:type="dxa" w:w="2160"/>
          </w:tcPr>
          <w:p>
            <w:r>
              <w:t>-</w:t>
            </w:r>
          </w:p>
        </w:tc>
        <w:tc>
          <w:tcPr>
            <w:tcW w:type="dxa" w:w="2160"/>
          </w:tcPr>
          <w:p>
            <w:r>
              <w:t>Art. 85 Para. 2</w:t>
            </w:r>
          </w:p>
        </w:tc>
      </w:tr>
      <w:tr>
        <w:tc>
          <w:tcPr>
            <w:tcW w:type="dxa" w:w="2160"/>
          </w:tcPr>
          <w:p>
            <w:r>
              <w:t>Art. 73</w:t>
            </w:r>
          </w:p>
        </w:tc>
        <w:tc>
          <w:tcPr>
            <w:tcW w:type="dxa" w:w="2160"/>
          </w:tcPr>
          <w:p>
            <w:r>
              <w:t>-</w:t>
            </w:r>
          </w:p>
        </w:tc>
        <w:tc>
          <w:tcPr>
            <w:tcW w:type="dxa" w:w="2160"/>
          </w:tcPr>
          <w:p>
            <w:r>
              <w:t>-</w:t>
            </w:r>
          </w:p>
        </w:tc>
        <w:tc>
          <w:tcPr>
            <w:tcW w:type="dxa" w:w="2160"/>
          </w:tcPr>
          <w:p>
            <w:r>
              <w:t>-</w:t>
            </w:r>
          </w:p>
        </w:tc>
      </w:tr>
      <w:tr>
        <w:tc>
          <w:tcPr>
            <w:tcW w:type="dxa" w:w="2160"/>
          </w:tcPr>
          <w:p>
            <w:r>
              <w:t>Art. 74</w:t>
            </w:r>
          </w:p>
        </w:tc>
        <w:tc>
          <w:tcPr>
            <w:tcW w:type="dxa" w:w="2160"/>
          </w:tcPr>
          <w:p>
            <w:r>
              <w:t>-</w:t>
            </w:r>
          </w:p>
        </w:tc>
        <w:tc>
          <w:tcPr>
            <w:tcW w:type="dxa" w:w="2160"/>
          </w:tcPr>
          <w:p>
            <w:r/>
          </w:p>
        </w:tc>
        <w:tc>
          <w:tcPr>
            <w:tcW w:type="dxa" w:w="2160"/>
          </w:tcPr>
          <w:p>
            <w:r>
              <w:t>-</w:t>
            </w:r>
          </w:p>
        </w:tc>
      </w:tr>
      <w:tr>
        <w:tc>
          <w:tcPr>
            <w:tcW w:type="dxa" w:w="2160"/>
          </w:tcPr>
          <w:p>
            <w:r>
              <w:t>Art. 74 Nr. 2</w:t>
            </w:r>
          </w:p>
        </w:tc>
        <w:tc>
          <w:tcPr>
            <w:tcW w:type="dxa" w:w="2160"/>
          </w:tcPr>
          <w:p>
            <w:r>
              <w:t>-</w:t>
            </w:r>
          </w:p>
        </w:tc>
        <w:tc>
          <w:tcPr>
            <w:tcW w:type="dxa" w:w="2160"/>
          </w:tcPr>
          <w:p>
            <w:r>
              <w:t>-</w:t>
            </w:r>
          </w:p>
        </w:tc>
        <w:tc>
          <w:tcPr>
            <w:tcW w:type="dxa" w:w="2160"/>
          </w:tcPr>
          <w:p>
            <w:r>
              <w:t>Art. 85 Para. 2</w:t>
            </w:r>
          </w:p>
        </w:tc>
      </w:tr>
      <w:tr>
        <w:tc>
          <w:tcPr>
            <w:tcW w:type="dxa" w:w="2160"/>
          </w:tcPr>
          <w:p>
            <w:r>
              <w:t>Art. 75</w:t>
            </w:r>
          </w:p>
        </w:tc>
        <w:tc>
          <w:tcPr>
            <w:tcW w:type="dxa" w:w="2160"/>
          </w:tcPr>
          <w:p>
            <w:r>
              <w:t>-</w:t>
            </w:r>
          </w:p>
        </w:tc>
        <w:tc>
          <w:tcPr>
            <w:tcW w:type="dxa" w:w="2160"/>
          </w:tcPr>
          <w:p>
            <w:r>
              <w:t>-</w:t>
            </w:r>
          </w:p>
        </w:tc>
        <w:tc>
          <w:tcPr>
            <w:tcW w:type="dxa" w:w="2160"/>
          </w:tcPr>
          <w:p>
            <w:r>
              <w:t>-</w:t>
            </w:r>
          </w:p>
        </w:tc>
      </w:tr>
      <w:tr>
        <w:tc>
          <w:tcPr>
            <w:tcW w:type="dxa" w:w="2160"/>
          </w:tcPr>
          <w:p>
            <w:r>
              <w:t>Art. 76</w:t>
            </w:r>
          </w:p>
        </w:tc>
        <w:tc>
          <w:tcPr>
            <w:tcW w:type="dxa" w:w="2160"/>
          </w:tcPr>
          <w:p>
            <w:r>
              <w:t>-</w:t>
            </w:r>
          </w:p>
        </w:tc>
        <w:tc>
          <w:tcPr>
            <w:tcW w:type="dxa" w:w="2160"/>
          </w:tcPr>
          <w:p>
            <w:r>
              <w:t>-</w:t>
            </w:r>
          </w:p>
        </w:tc>
        <w:tc>
          <w:tcPr>
            <w:tcW w:type="dxa" w:w="2160"/>
          </w:tcPr>
          <w:p>
            <w:r>
              <w:t>-</w:t>
            </w:r>
          </w:p>
        </w:tc>
      </w:tr>
      <w:tr>
        <w:tc>
          <w:tcPr>
            <w:tcW w:type="dxa" w:w="2160"/>
          </w:tcPr>
          <w:p>
            <w:r>
              <w:t>Art. 77</w:t>
            </w:r>
          </w:p>
        </w:tc>
        <w:tc>
          <w:tcPr>
            <w:tcW w:type="dxa" w:w="2160"/>
          </w:tcPr>
          <w:p>
            <w:r>
              <w:t>-</w:t>
            </w:r>
          </w:p>
        </w:tc>
        <w:tc>
          <w:tcPr>
            <w:tcW w:type="dxa" w:w="2160"/>
          </w:tcPr>
          <w:p>
            <w:r>
              <w:t>-</w:t>
            </w:r>
          </w:p>
        </w:tc>
        <w:tc>
          <w:tcPr>
            <w:tcW w:type="dxa" w:w="2160"/>
          </w:tcPr>
          <w:p>
            <w:r>
              <w:t>-</w:t>
            </w:r>
          </w:p>
        </w:tc>
      </w:tr>
      <w:tr>
        <w:tc>
          <w:tcPr>
            <w:tcW w:type="dxa" w:w="2160"/>
          </w:tcPr>
          <w:p>
            <w:r>
              <w:t>Art. 78</w:t>
            </w:r>
          </w:p>
        </w:tc>
        <w:tc>
          <w:tcPr>
            <w:tcW w:type="dxa" w:w="2160"/>
          </w:tcPr>
          <w:p>
            <w:r>
              <w:t>Art. 23</w:t>
            </w:r>
          </w:p>
        </w:tc>
        <w:tc>
          <w:tcPr>
            <w:tcW w:type="dxa" w:w="2160"/>
          </w:tcPr>
          <w:p>
            <w:r>
              <w:t>Art. 15</w:t>
            </w:r>
          </w:p>
        </w:tc>
        <w:tc>
          <w:tcPr>
            <w:tcW w:type="dxa" w:w="2160"/>
          </w:tcPr>
          <w:p>
            <w:r>
              <w:t>Art. 24</w:t>
            </w:r>
          </w:p>
        </w:tc>
      </w:tr>
      <w:tr>
        <w:tc>
          <w:tcPr>
            <w:tcW w:type="dxa" w:w="2160"/>
          </w:tcPr>
          <w:p>
            <w:r>
              <w:t>Art. 79</w:t>
            </w:r>
          </w:p>
        </w:tc>
        <w:tc>
          <w:tcPr>
            <w:tcW w:type="dxa" w:w="2160"/>
          </w:tcPr>
          <w:p>
            <w:r>
              <w:t>Art. 25</w:t>
            </w:r>
          </w:p>
        </w:tc>
        <w:tc>
          <w:tcPr>
            <w:tcW w:type="dxa" w:w="2160"/>
          </w:tcPr>
          <w:p>
            <w:r>
              <w:t>Art. 14</w:t>
            </w:r>
          </w:p>
        </w:tc>
        <w:tc>
          <w:tcPr>
            <w:tcW w:type="dxa" w:w="2160"/>
          </w:tcPr>
          <w:p>
            <w:r>
              <w:t>Art. 32</w:t>
            </w:r>
          </w:p>
        </w:tc>
      </w:tr>
      <w:tr>
        <w:tc>
          <w:tcPr>
            <w:tcW w:type="dxa" w:w="2160"/>
          </w:tcPr>
          <w:p>
            <w:r>
              <w:t>Art. 80</w:t>
            </w:r>
          </w:p>
        </w:tc>
        <w:tc>
          <w:tcPr>
            <w:tcW w:type="dxa" w:w="2160"/>
          </w:tcPr>
          <w:p>
            <w:r>
              <w:t>Art. 17</w:t>
            </w:r>
          </w:p>
        </w:tc>
        <w:tc>
          <w:tcPr>
            <w:tcW w:type="dxa" w:w="2160"/>
          </w:tcPr>
          <w:p>
            <w:r>
              <w:t>Art. 12</w:t>
            </w:r>
          </w:p>
        </w:tc>
        <w:tc>
          <w:tcPr>
            <w:tcW w:type="dxa" w:w="2160"/>
          </w:tcPr>
          <w:p>
            <w:r>
              <w:t>Art. 28</w:t>
            </w:r>
          </w:p>
        </w:tc>
      </w:tr>
      <w:tr>
        <w:tc>
          <w:tcPr>
            <w:tcW w:type="dxa" w:w="2160"/>
          </w:tcPr>
          <w:p>
            <w:r>
              <w:t>Art. 81</w:t>
            </w:r>
          </w:p>
        </w:tc>
        <w:tc>
          <w:tcPr>
            <w:tcW w:type="dxa" w:w="2160"/>
          </w:tcPr>
          <w:p>
            <w:r>
              <w:t>Recital 45, Art. 17 Para. 4</w:t>
            </w:r>
          </w:p>
        </w:tc>
        <w:tc>
          <w:tcPr>
            <w:tcW w:type="dxa" w:w="2160"/>
          </w:tcPr>
          <w:p>
            <w:r>
              <w:t>Recital 31, Art. 12</w:t>
            </w:r>
          </w:p>
        </w:tc>
        <w:tc>
          <w:tcPr>
            <w:tcW w:type="dxa" w:w="2160"/>
          </w:tcPr>
          <w:p>
            <w:r>
              <w:t>Art. 28 Para. 4</w:t>
            </w:r>
          </w:p>
        </w:tc>
      </w:tr>
      <w:tr>
        <w:tc>
          <w:tcPr>
            <w:tcW w:type="dxa" w:w="2160"/>
          </w:tcPr>
          <w:p>
            <w:r>
              <w:t>Art. 82</w:t>
            </w:r>
          </w:p>
        </w:tc>
        <w:tc>
          <w:tcPr>
            <w:tcW w:type="dxa" w:w="2160"/>
          </w:tcPr>
          <w:p>
            <w:r>
              <w:t>Art. 2 Para. 1</w:t>
            </w:r>
          </w:p>
        </w:tc>
        <w:tc>
          <w:tcPr>
            <w:tcW w:type="dxa" w:w="2160"/>
          </w:tcPr>
          <w:p>
            <w:r>
              <w:t>Art. 12, 2 Para.2</w:t>
            </w:r>
          </w:p>
        </w:tc>
        <w:tc>
          <w:tcPr>
            <w:tcW w:type="dxa" w:w="2160"/>
          </w:tcPr>
          <w:p>
            <w:r>
              <w:t>-</w:t>
            </w:r>
          </w:p>
        </w:tc>
      </w:tr>
      <w:tr>
        <w:tc>
          <w:tcPr>
            <w:tcW w:type="dxa" w:w="2160"/>
          </w:tcPr>
          <w:p>
            <w:r>
              <w:t>Art. 83 Para. 1</w:t>
            </w:r>
          </w:p>
        </w:tc>
        <w:tc>
          <w:tcPr>
            <w:tcW w:type="dxa" w:w="2160"/>
          </w:tcPr>
          <w:p>
            <w:r>
              <w:t>Art. 13</w:t>
            </w:r>
          </w:p>
        </w:tc>
        <w:tc>
          <w:tcPr>
            <w:tcW w:type="dxa" w:w="2160"/>
          </w:tcPr>
          <w:p>
            <w:r>
              <w:t>-</w:t>
            </w:r>
          </w:p>
        </w:tc>
        <w:tc>
          <w:tcPr>
            <w:tcW w:type="dxa" w:w="2160"/>
          </w:tcPr>
          <w:p>
            <w:r>
              <w:t>Art. 29 Para. 3</w:t>
            </w:r>
          </w:p>
        </w:tc>
      </w:tr>
      <w:tr>
        <w:tc>
          <w:tcPr>
            <w:tcW w:type="dxa" w:w="2160"/>
          </w:tcPr>
          <w:p>
            <w:r>
              <w:t>Art. 83 Para. 2</w:t>
            </w:r>
          </w:p>
        </w:tc>
        <w:tc>
          <w:tcPr>
            <w:tcW w:type="dxa" w:w="2160"/>
          </w:tcPr>
          <w:p>
            <w:r>
              <w:t>Art. 13</w:t>
            </w:r>
          </w:p>
        </w:tc>
        <w:tc>
          <w:tcPr>
            <w:tcW w:type="dxa" w:w="2160"/>
          </w:tcPr>
          <w:p>
            <w:r>
              <w:t>-</w:t>
            </w:r>
          </w:p>
        </w:tc>
        <w:tc>
          <w:tcPr>
            <w:tcW w:type="dxa" w:w="2160"/>
          </w:tcPr>
          <w:p>
            <w:r>
              <w:t>Art. 29 Para. 2</w:t>
            </w:r>
          </w:p>
        </w:tc>
      </w:tr>
      <w:tr>
        <w:tc>
          <w:tcPr>
            <w:tcW w:type="dxa" w:w="2160"/>
          </w:tcPr>
          <w:p>
            <w:r>
              <w:t>Art. 83 Para. 3</w:t>
            </w:r>
          </w:p>
        </w:tc>
        <w:tc>
          <w:tcPr>
            <w:tcW w:type="dxa" w:w="2160"/>
          </w:tcPr>
          <w:p>
            <w:r>
              <w:t>Art. 13</w:t>
            </w:r>
          </w:p>
        </w:tc>
        <w:tc>
          <w:tcPr>
            <w:tcW w:type="dxa" w:w="2160"/>
          </w:tcPr>
          <w:p>
            <w:r>
              <w:t>-</w:t>
            </w:r>
          </w:p>
        </w:tc>
        <w:tc>
          <w:tcPr>
            <w:tcW w:type="dxa" w:w="2160"/>
          </w:tcPr>
          <w:p>
            <w:r>
              <w:t>Art. 29 Para. 1</w:t>
            </w:r>
          </w:p>
        </w:tc>
      </w:tr>
      <w:tr>
        <w:tc>
          <w:tcPr>
            <w:tcW w:type="dxa" w:w="2160"/>
          </w:tcPr>
          <w:p>
            <w:r>
              <w:t>Art. 83 Para. 4</w:t>
            </w:r>
          </w:p>
        </w:tc>
        <w:tc>
          <w:tcPr>
            <w:tcW w:type="dxa" w:w="2160"/>
          </w:tcPr>
          <w:p>
            <w:r>
              <w:t>Art. 13</w:t>
            </w:r>
          </w:p>
        </w:tc>
        <w:tc>
          <w:tcPr>
            <w:tcW w:type="dxa" w:w="2160"/>
          </w:tcPr>
          <w:p>
            <w:r>
              <w:t>-</w:t>
            </w:r>
          </w:p>
        </w:tc>
        <w:tc>
          <w:tcPr>
            <w:tcW w:type="dxa" w:w="2160"/>
          </w:tcPr>
          <w:p>
            <w:r>
              <w:t>Art. 29 Para. 1 Sub. 1</w:t>
            </w:r>
          </w:p>
        </w:tc>
      </w:tr>
      <w:tr>
        <w:tc>
          <w:tcPr>
            <w:tcW w:type="dxa" w:w="2160"/>
          </w:tcPr>
          <w:p>
            <w:r>
              <w:t>Art. 84</w:t>
            </w:r>
          </w:p>
        </w:tc>
        <w:tc>
          <w:tcPr>
            <w:tcW w:type="dxa" w:w="2160"/>
          </w:tcPr>
          <w:p>
            <w:r>
              <w:t>Art. 14</w:t>
            </w:r>
          </w:p>
        </w:tc>
        <w:tc>
          <w:tcPr>
            <w:tcW w:type="dxa" w:w="2160"/>
          </w:tcPr>
          <w:p>
            <w:r>
              <w:t>-</w:t>
            </w:r>
          </w:p>
        </w:tc>
        <w:tc>
          <w:tcPr>
            <w:tcW w:type="dxa" w:w="2160"/>
          </w:tcPr>
          <w:p>
            <w:r>
              <w:t>Art. 30</w:t>
            </w:r>
          </w:p>
        </w:tc>
      </w:tr>
      <w:tr>
        <w:tc>
          <w:tcPr>
            <w:tcW w:type="dxa" w:w="2160"/>
          </w:tcPr>
          <w:p>
            <w:r>
              <w:t>Art. 85</w:t>
            </w:r>
          </w:p>
        </w:tc>
        <w:tc>
          <w:tcPr>
            <w:tcW w:type="dxa" w:w="2160"/>
          </w:tcPr>
          <w:p>
            <w:r>
              <w:t>Art. 10</w:t>
            </w:r>
          </w:p>
        </w:tc>
        <w:tc>
          <w:tcPr>
            <w:tcW w:type="dxa" w:w="2160"/>
          </w:tcPr>
          <w:p>
            <w:r>
              <w:t>Art. 10, 11</w:t>
            </w:r>
          </w:p>
        </w:tc>
        <w:tc>
          <w:tcPr>
            <w:tcW w:type="dxa" w:w="2160"/>
          </w:tcPr>
          <w:p>
            <w:r>
              <w:t>-</w:t>
            </w:r>
          </w:p>
        </w:tc>
      </w:tr>
      <w:tr>
        <w:tc>
          <w:tcPr>
            <w:tcW w:type="dxa" w:w="2160"/>
          </w:tcPr>
          <w:p>
            <w:r>
              <w:t>Art. 86</w:t>
            </w:r>
          </w:p>
        </w:tc>
        <w:tc>
          <w:tcPr>
            <w:tcW w:type="dxa" w:w="2160"/>
          </w:tcPr>
          <w:p>
            <w:r>
              <w:t>Art. 21</w:t>
            </w:r>
          </w:p>
        </w:tc>
        <w:tc>
          <w:tcPr>
            <w:tcW w:type="dxa" w:w="2160"/>
          </w:tcPr>
          <w:p>
            <w:r>
              <w:t>Art. 16</w:t>
            </w:r>
          </w:p>
        </w:tc>
        <w:tc>
          <w:tcPr>
            <w:tcW w:type="dxa" w:w="2160"/>
          </w:tcPr>
          <w:p>
            <w:r>
              <w:t>Art. 25</w:t>
            </w:r>
          </w:p>
        </w:tc>
      </w:tr>
      <w:tr>
        <w:tc>
          <w:tcPr>
            <w:tcW w:type="dxa" w:w="2160"/>
          </w:tcPr>
          <w:p>
            <w:r>
              <w:t>Art. 87</w:t>
            </w:r>
          </w:p>
        </w:tc>
        <w:tc>
          <w:tcPr>
            <w:tcW w:type="dxa" w:w="2160"/>
          </w:tcPr>
          <w:p>
            <w:r>
              <w:t>Art. 20</w:t>
            </w:r>
          </w:p>
        </w:tc>
        <w:tc>
          <w:tcPr>
            <w:tcW w:type="dxa" w:w="2160"/>
          </w:tcPr>
          <w:p>
            <w:r>
              <w:t>Art. 3</w:t>
            </w:r>
          </w:p>
        </w:tc>
        <w:tc>
          <w:tcPr>
            <w:tcW w:type="dxa" w:w="2160"/>
          </w:tcPr>
          <w:p>
            <w:r>
              <w:t>Art. 5</w:t>
            </w:r>
          </w:p>
        </w:tc>
      </w:tr>
      <w:tr>
        <w:tc>
          <w:tcPr>
            <w:tcW w:type="dxa" w:w="2160"/>
          </w:tcPr>
          <w:p>
            <w:r>
              <w:t>Art. 88</w:t>
            </w:r>
          </w:p>
        </w:tc>
        <w:tc>
          <w:tcPr>
            <w:tcW w:type="dxa" w:w="2160"/>
          </w:tcPr>
          <w:p>
            <w:r>
              <w:t>Art. 36</w:t>
            </w:r>
          </w:p>
        </w:tc>
        <w:tc>
          <w:tcPr>
            <w:tcW w:type="dxa" w:w="2160"/>
          </w:tcPr>
          <w:p>
            <w:r>
              <w:t>Art. 42</w:t>
            </w:r>
          </w:p>
        </w:tc>
        <w:tc>
          <w:tcPr>
            <w:tcW w:type="dxa" w:w="2160"/>
          </w:tcPr>
          <w:p>
            <w:r>
              <w:t>Art. 60</w:t>
            </w:r>
          </w:p>
        </w:tc>
      </w:tr>
      <w:tr>
        <w:tc>
          <w:tcPr>
            <w:tcW w:type="dxa" w:w="2160"/>
          </w:tcPr>
          <w:p>
            <w:r>
              <w:t>Art. 89</w:t>
            </w:r>
          </w:p>
        </w:tc>
        <w:tc>
          <w:tcPr>
            <w:tcW w:type="dxa" w:w="2160"/>
          </w:tcPr>
          <w:p>
            <w:r>
              <w:t>-</w:t>
            </w:r>
          </w:p>
        </w:tc>
        <w:tc>
          <w:tcPr>
            <w:tcW w:type="dxa" w:w="2160"/>
          </w:tcPr>
          <w:p>
            <w:r>
              <w:t>Art. 45</w:t>
            </w:r>
          </w:p>
        </w:tc>
        <w:tc>
          <w:tcPr>
            <w:tcW w:type="dxa" w:w="2160"/>
          </w:tcPr>
          <w:p>
            <w:r>
              <w:t>Art. 64</w:t>
            </w:r>
          </w:p>
        </w:tc>
      </w:tr>
      <w:tr>
        <w:tc>
          <w:tcPr>
            <w:tcW w:type="dxa" w:w="2160"/>
          </w:tcPr>
          <w:p>
            <w:r>
              <w:t>Art. 90</w:t>
            </w:r>
          </w:p>
        </w:tc>
        <w:tc>
          <w:tcPr>
            <w:tcW w:type="dxa" w:w="2160"/>
          </w:tcPr>
          <w:p>
            <w:r>
              <w:t>-</w:t>
            </w:r>
          </w:p>
        </w:tc>
        <w:tc>
          <w:tcPr>
            <w:tcW w:type="dxa" w:w="2160"/>
          </w:tcPr>
          <w:p>
            <w:r>
              <w:t>-</w:t>
            </w:r>
          </w:p>
        </w:tc>
        <w:tc>
          <w:tcPr>
            <w:tcW w:type="dxa" w:w="2160"/>
          </w:tcPr>
          <w:p>
            <w:r>
              <w:t>-</w:t>
            </w:r>
          </w:p>
        </w:tc>
      </w:tr>
      <w:tr>
        <w:tc>
          <w:tcPr>
            <w:tcW w:type="dxa" w:w="2160"/>
          </w:tcPr>
          <w:p>
            <w:r>
              <w:t>Art. 91</w:t>
            </w:r>
          </w:p>
        </w:tc>
        <w:tc>
          <w:tcPr>
            <w:tcW w:type="dxa" w:w="2160"/>
          </w:tcPr>
          <w:p>
            <w:r>
              <w:t>-</w:t>
            </w:r>
          </w:p>
        </w:tc>
        <w:tc>
          <w:tcPr>
            <w:tcW w:type="dxa" w:w="2160"/>
          </w:tcPr>
          <w:p>
            <w:r>
              <w:t>Art. 43</w:t>
            </w:r>
          </w:p>
        </w:tc>
        <w:tc>
          <w:tcPr>
            <w:tcW w:type="dxa" w:w="2160"/>
          </w:tcPr>
          <w:p>
            <w:r>
              <w:t>Art. 61</w:t>
            </w:r>
          </w:p>
        </w:tc>
      </w:tr>
      <w:tr>
        <w:tc>
          <w:tcPr>
            <w:tcW w:type="dxa" w:w="2160"/>
          </w:tcPr>
          <w:p>
            <w:r>
              <w:t>Art. 92</w:t>
            </w:r>
          </w:p>
        </w:tc>
        <w:tc>
          <w:tcPr>
            <w:tcW w:type="dxa" w:w="2160"/>
          </w:tcPr>
          <w:p>
            <w:r>
              <w:t>Art. 38 Para. 1</w:t>
            </w:r>
          </w:p>
        </w:tc>
        <w:tc>
          <w:tcPr>
            <w:tcW w:type="dxa" w:w="2160"/>
          </w:tcPr>
          <w:p>
            <w:r>
              <w:t>Art. 44</w:t>
            </w:r>
          </w:p>
        </w:tc>
        <w:tc>
          <w:tcPr>
            <w:tcW w:type="dxa" w:w="2160"/>
          </w:tcPr>
          <w:p>
            <w:r>
              <w:t>Art. 62</w:t>
            </w:r>
          </w:p>
        </w:tc>
      </w:tr>
      <w:tr>
        <w:tc>
          <w:tcPr>
            <w:tcW w:type="dxa" w:w="2160"/>
          </w:tcPr>
          <w:p>
            <w:r>
              <w:t>Art. 93</w:t>
            </w:r>
          </w:p>
        </w:tc>
        <w:tc>
          <w:tcPr>
            <w:tcW w:type="dxa" w:w="2160"/>
          </w:tcPr>
          <w:p>
            <w:r>
              <w:t>Art. 28</w:t>
            </w:r>
          </w:p>
        </w:tc>
        <w:tc>
          <w:tcPr>
            <w:tcW w:type="dxa" w:w="2160"/>
          </w:tcPr>
          <w:p>
            <w:r>
              <w:t>Art. 21</w:t>
            </w:r>
          </w:p>
        </w:tc>
        <w:tc>
          <w:tcPr>
            <w:tcW w:type="dxa" w:w="2160"/>
          </w:tcPr>
          <w:p>
            <w:r>
              <w:t>Art. 39</w:t>
            </w:r>
          </w:p>
        </w:tc>
      </w:tr>
      <w:tr>
        <w:tc>
          <w:tcPr>
            <w:tcW w:type="dxa" w:w="2160"/>
          </w:tcPr>
          <w:p>
            <w:r>
              <w:t>Art. 94</w:t>
            </w:r>
          </w:p>
        </w:tc>
        <w:tc>
          <w:tcPr>
            <w:tcW w:type="dxa" w:w="2160"/>
          </w:tcPr>
          <w:p>
            <w:r>
              <w:t>Art. 35</w:t>
            </w:r>
          </w:p>
        </w:tc>
        <w:tc>
          <w:tcPr>
            <w:tcW w:type="dxa" w:w="2160"/>
          </w:tcPr>
          <w:p>
            <w:r>
              <w:t>Art. 24</w:t>
            </w:r>
          </w:p>
        </w:tc>
        <w:tc>
          <w:tcPr>
            <w:tcW w:type="dxa" w:w="2160"/>
          </w:tcPr>
          <w:p>
            <w:r>
              <w:t>Art. 42</w:t>
            </w:r>
          </w:p>
        </w:tc>
      </w:tr>
      <w:tr>
        <w:tc>
          <w:tcPr>
            <w:tcW w:type="dxa" w:w="2160"/>
          </w:tcPr>
          <w:p>
            <w:r>
              <w:t>Art. 95</w:t>
            </w:r>
          </w:p>
        </w:tc>
        <w:tc>
          <w:tcPr>
            <w:tcW w:type="dxa" w:w="2160"/>
          </w:tcPr>
          <w:p>
            <w:r>
              <w:t>-</w:t>
            </w:r>
          </w:p>
        </w:tc>
        <w:tc>
          <w:tcPr>
            <w:tcW w:type="dxa" w:w="2160"/>
          </w:tcPr>
          <w:p>
            <w:r>
              <w:t>Art. 41</w:t>
            </w:r>
          </w:p>
        </w:tc>
        <w:tc>
          <w:tcPr>
            <w:tcW w:type="dxa" w:w="2160"/>
          </w:tcPr>
          <w:p>
            <w:r>
              <w:t>Art. 59</w:t>
            </w:r>
          </w:p>
        </w:tc>
      </w:tr>
      <w:tr>
        <w:tc>
          <w:tcPr>
            <w:tcW w:type="dxa" w:w="2160"/>
          </w:tcPr>
          <w:p>
            <w:r>
              <w:t>Art. 96</w:t>
            </w:r>
          </w:p>
        </w:tc>
        <w:tc>
          <w:tcPr>
            <w:tcW w:type="dxa" w:w="2160"/>
          </w:tcPr>
          <w:p>
            <w:r>
              <w:t>Art. 39</w:t>
            </w:r>
          </w:p>
        </w:tc>
        <w:tc>
          <w:tcPr>
            <w:tcW w:type="dxa" w:w="2160"/>
          </w:tcPr>
          <w:p>
            <w:r>
              <w:t>Art. 47</w:t>
            </w:r>
          </w:p>
        </w:tc>
        <w:tc>
          <w:tcPr>
            <w:tcW w:type="dxa" w:w="2160"/>
          </w:tcPr>
          <w:p>
            <w:r>
              <w:t>Art. 66</w:t>
            </w:r>
          </w:p>
        </w:tc>
      </w:tr>
      <w:tr>
        <w:tc>
          <w:tcPr>
            <w:tcW w:type="dxa" w:w="2160"/>
          </w:tcPr>
          <w:p>
            <w:r>
              <w:t>Art. 97</w:t>
            </w:r>
          </w:p>
        </w:tc>
        <w:tc>
          <w:tcPr>
            <w:tcW w:type="dxa" w:w="2160"/>
          </w:tcPr>
          <w:p>
            <w:r>
              <w:t>Art. 40</w:t>
            </w:r>
          </w:p>
        </w:tc>
        <w:tc>
          <w:tcPr>
            <w:tcW w:type="dxa" w:w="2160"/>
          </w:tcPr>
          <w:p>
            <w:r>
              <w:t>Art. 53</w:t>
            </w:r>
          </w:p>
        </w:tc>
        <w:tc>
          <w:tcPr>
            <w:tcW w:type="dxa" w:w="2160"/>
          </w:tcPr>
          <w:p>
            <w:r>
              <w:t>-</w:t>
            </w:r>
          </w:p>
        </w:tc>
      </w:tr>
      <w:tr>
        <w:tc>
          <w:tcPr>
            <w:tcW w:type="dxa" w:w="2160"/>
          </w:tcPr>
          <w:p>
            <w:r>
              <w:t>Art. 98</w:t>
            </w:r>
          </w:p>
        </w:tc>
        <w:tc>
          <w:tcPr>
            <w:tcW w:type="dxa" w:w="2160"/>
          </w:tcPr>
          <w:p>
            <w:r>
              <w:t>Art. 41</w:t>
            </w:r>
          </w:p>
        </w:tc>
        <w:tc>
          <w:tcPr>
            <w:tcW w:type="dxa" w:w="2160"/>
          </w:tcPr>
          <w:p>
            <w:r>
              <w:t>Art. 67</w:t>
            </w:r>
          </w:p>
        </w:tc>
        <w:tc>
          <w:tcPr>
            <w:tcW w:type="dxa" w:w="2160"/>
          </w:tcPr>
          <w:p>
            <w:r>
              <w:t>Art. 82</w:t>
            </w:r>
          </w:p>
        </w:tc>
      </w:tr>
      <w:tr>
        <w:tc>
          <w:tcPr>
            <w:tcW w:type="dxa" w:w="2160"/>
          </w:tcPr>
          <w:p>
            <w:r>
              <w:t>Art. 99</w:t>
            </w:r>
          </w:p>
        </w:tc>
        <w:tc>
          <w:tcPr>
            <w:tcW w:type="dxa" w:w="2160"/>
          </w:tcPr>
          <w:p>
            <w:r>
              <w:t>-</w:t>
            </w:r>
          </w:p>
        </w:tc>
        <w:tc>
          <w:tcPr>
            <w:tcW w:type="dxa" w:w="2160"/>
          </w:tcPr>
          <w:p>
            <w:r>
              <w:t>Art. 68</w:t>
            </w:r>
          </w:p>
        </w:tc>
        <w:tc>
          <w:tcPr>
            <w:tcW w:type="dxa" w:w="2160"/>
          </w:tcPr>
          <w:p>
            <w:r>
              <w:t>Art. 83</w:t>
            </w:r>
          </w:p>
        </w:tc>
      </w:tr>
      <w:tr>
        <w:tc>
          <w:tcPr>
            <w:tcW w:type="dxa" w:w="2160"/>
          </w:tcPr>
          <w:p>
            <w:r>
              <w:t>Art. 100</w:t>
            </w:r>
          </w:p>
        </w:tc>
        <w:tc>
          <w:tcPr>
            <w:tcW w:type="dxa" w:w="2160"/>
          </w:tcPr>
          <w:p>
            <w:r>
              <w:t>-</w:t>
            </w:r>
          </w:p>
        </w:tc>
        <w:tc>
          <w:tcPr>
            <w:tcW w:type="dxa" w:w="2160"/>
          </w:tcPr>
          <w:p>
            <w:r>
              <w:t>Art. 46</w:t>
            </w:r>
          </w:p>
        </w:tc>
        <w:tc>
          <w:tcPr>
            <w:tcW w:type="dxa" w:w="2160"/>
          </w:tcPr>
          <w:p>
            <w:r>
              <w:t>Art. 65</w:t>
            </w:r>
          </w:p>
        </w:tc>
      </w:tr>
      <w:tr>
        <w:tc>
          <w:tcPr>
            <w:tcW w:type="dxa" w:w="2160"/>
          </w:tcPr>
          <w:p>
            <w:r>
              <w:t>Art. 101</w:t>
            </w:r>
          </w:p>
        </w:tc>
        <w:tc>
          <w:tcPr>
            <w:tcW w:type="dxa" w:w="2160"/>
          </w:tcPr>
          <w:p>
            <w:r>
              <w:t>-</w:t>
            </w:r>
          </w:p>
        </w:tc>
        <w:tc>
          <w:tcPr>
            <w:tcW w:type="dxa" w:w="2160"/>
          </w:tcPr>
          <w:p>
            <w:r>
              <w:t>Art. 69</w:t>
            </w:r>
          </w:p>
        </w:tc>
        <w:tc>
          <w:tcPr>
            <w:tcW w:type="dxa" w:w="2160"/>
          </w:tcPr>
          <w:p>
            <w:r>
              <w:t>Art. 84</w:t>
            </w:r>
          </w:p>
        </w:tc>
      </w:tr>
      <w:tr>
        <w:tc>
          <w:tcPr>
            <w:tcW w:type="dxa" w:w="2160"/>
          </w:tcPr>
          <w:p>
            <w:r>
              <w:t>Art. 102</w:t>
            </w:r>
          </w:p>
        </w:tc>
        <w:tc>
          <w:tcPr>
            <w:tcW w:type="dxa" w:w="2160"/>
          </w:tcPr>
          <w:p>
            <w:r>
              <w:t>-</w:t>
            </w:r>
          </w:p>
        </w:tc>
        <w:tc>
          <w:tcPr>
            <w:tcW w:type="dxa" w:w="2160"/>
          </w:tcPr>
          <w:p>
            <w:r>
              <w:t>-</w:t>
            </w:r>
          </w:p>
        </w:tc>
        <w:tc>
          <w:tcPr>
            <w:tcW w:type="dxa" w:w="2160"/>
          </w:tcPr>
          <w:p>
            <w:r>
              <w:t>-</w:t>
            </w:r>
          </w:p>
        </w:tc>
      </w:tr>
      <w:tr>
        <w:tc>
          <w:tcPr>
            <w:tcW w:type="dxa" w:w="2160"/>
          </w:tcPr>
          <w:p>
            <w:r>
              <w:t>Art. 103</w:t>
            </w:r>
          </w:p>
        </w:tc>
        <w:tc>
          <w:tcPr>
            <w:tcW w:type="dxa" w:w="2160"/>
          </w:tcPr>
          <w:p>
            <w:r>
              <w:t>-</w:t>
            </w:r>
          </w:p>
        </w:tc>
        <w:tc>
          <w:tcPr>
            <w:tcW w:type="dxa" w:w="2160"/>
          </w:tcPr>
          <w:p>
            <w:r>
              <w:t>Art. 33</w:t>
            </w:r>
          </w:p>
        </w:tc>
        <w:tc>
          <w:tcPr>
            <w:tcW w:type="dxa" w:w="2160"/>
          </w:tcPr>
          <w:p>
            <w:r>
              <w:t>Art. 51</w:t>
            </w:r>
          </w:p>
        </w:tc>
      </w:tr>
      <w:tr>
        <w:tc>
          <w:tcPr>
            <w:tcW w:type="dxa" w:w="2160"/>
          </w:tcPr>
          <w:p>
            <w:r>
              <w:t>Art. 104</w:t>
            </w:r>
          </w:p>
        </w:tc>
        <w:tc>
          <w:tcPr>
            <w:tcW w:type="dxa" w:w="2160"/>
          </w:tcPr>
          <w:p>
            <w:r>
              <w:t>Art. 36</w:t>
            </w:r>
          </w:p>
        </w:tc>
        <w:tc>
          <w:tcPr>
            <w:tcW w:type="dxa" w:w="2160"/>
          </w:tcPr>
          <w:p>
            <w:r>
              <w:t>Art. 70</w:t>
            </w:r>
          </w:p>
        </w:tc>
        <w:tc>
          <w:tcPr>
            <w:tcW w:type="dxa" w:w="2160"/>
          </w:tcPr>
          <w:p>
            <w:r>
              <w:t>Art. 87</w:t>
            </w:r>
          </w:p>
        </w:tc>
      </w:tr>
      <w:tr>
        <w:tc>
          <w:tcPr>
            <w:tcW w:type="dxa" w:w="2160"/>
          </w:tcPr>
          <w:p>
            <w:r>
              <w:t>Art. 105</w:t>
            </w:r>
          </w:p>
        </w:tc>
        <w:tc>
          <w:tcPr>
            <w:tcW w:type="dxa" w:w="2160"/>
          </w:tcPr>
          <w:p>
            <w:r>
              <w:t>-</w:t>
            </w:r>
          </w:p>
        </w:tc>
        <w:tc>
          <w:tcPr>
            <w:tcW w:type="dxa" w:w="2160"/>
          </w:tcPr>
          <w:p>
            <w:r>
              <w:t>-</w:t>
            </w:r>
          </w:p>
        </w:tc>
        <w:tc>
          <w:tcPr>
            <w:tcW w:type="dxa" w:w="2160"/>
          </w:tcPr>
          <w:p>
            <w:r>
              <w:t>-</w:t>
            </w:r>
          </w:p>
        </w:tc>
      </w:tr>
      <w:tr>
        <w:tc>
          <w:tcPr>
            <w:tcW w:type="dxa" w:w="2160"/>
          </w:tcPr>
          <w:p>
            <w:r>
              <w:t>Art. 106</w:t>
            </w:r>
          </w:p>
        </w:tc>
        <w:tc>
          <w:tcPr>
            <w:tcW w:type="dxa" w:w="2160"/>
          </w:tcPr>
          <w:p>
            <w:r>
              <w:t>Art. 43</w:t>
            </w:r>
          </w:p>
        </w:tc>
        <w:tc>
          <w:tcPr>
            <w:tcW w:type="dxa" w:w="2160"/>
          </w:tcPr>
          <w:p>
            <w:r>
              <w:t>Art. 72</w:t>
            </w:r>
          </w:p>
        </w:tc>
        <w:tc>
          <w:tcPr>
            <w:tcW w:type="dxa" w:w="2160"/>
          </w:tcPr>
          <w:p>
            <w:r>
              <w:t>Art. 89</w:t>
            </w:r>
          </w:p>
        </w:tc>
      </w:tr>
      <w:tr>
        <w:tc>
          <w:tcPr>
            <w:tcW w:type="dxa" w:w="2160"/>
          </w:tcPr>
          <w:p>
            <w:r>
              <w:t>Art. 107</w:t>
            </w:r>
          </w:p>
        </w:tc>
        <w:tc>
          <w:tcPr>
            <w:tcW w:type="dxa" w:w="2160"/>
          </w:tcPr>
          <w:p>
            <w:r>
              <w:t>Art. 44</w:t>
            </w:r>
          </w:p>
        </w:tc>
        <w:tc>
          <w:tcPr>
            <w:tcW w:type="dxa" w:w="2160"/>
          </w:tcPr>
          <w:p>
            <w:r>
              <w:t>Art. 73</w:t>
            </w:r>
          </w:p>
        </w:tc>
        <w:tc>
          <w:tcPr>
            <w:tcW w:type="dxa" w:w="2160"/>
          </w:tcPr>
          <w:p>
            <w:r>
              <w:t>Art. 90</w:t>
            </w:r>
          </w:p>
        </w:tc>
      </w:tr>
      <w:tr>
        <w:tc>
          <w:tcPr>
            <w:tcW w:type="dxa" w:w="2160"/>
          </w:tcPr>
          <w:p>
            <w:r>
              <w:t>Art. 108</w:t>
            </w:r>
          </w:p>
        </w:tc>
        <w:tc>
          <w:tcPr>
            <w:tcW w:type="dxa" w:w="2160"/>
          </w:tcPr>
          <w:p>
            <w:r>
              <w:t>-</w:t>
            </w:r>
          </w:p>
        </w:tc>
        <w:tc>
          <w:tcPr>
            <w:tcW w:type="dxa" w:w="2160"/>
          </w:tcPr>
          <w:p>
            <w:r>
              <w:t>-</w:t>
            </w:r>
          </w:p>
        </w:tc>
        <w:tc>
          <w:tcPr>
            <w:tcW w:type="dxa" w:w="2160"/>
          </w:tcPr>
          <w:p>
            <w:r>
              <w:t>-</w:t>
            </w:r>
          </w:p>
        </w:tc>
      </w:tr>
      <w:tr>
        <w:tc>
          <w:tcPr>
            <w:tcW w:type="dxa" w:w="2160"/>
          </w:tcPr>
          <w:p>
            <w:r>
              <w:t>Art. 109</w:t>
            </w:r>
          </w:p>
        </w:tc>
        <w:tc>
          <w:tcPr>
            <w:tcW w:type="dxa" w:w="2160"/>
          </w:tcPr>
          <w:p>
            <w:r>
              <w:t>-</w:t>
            </w:r>
          </w:p>
        </w:tc>
        <w:tc>
          <w:tcPr>
            <w:tcW w:type="dxa" w:w="2160"/>
          </w:tcPr>
          <w:p>
            <w:r>
              <w:t>Art. 84</w:t>
            </w:r>
          </w:p>
        </w:tc>
        <w:tc>
          <w:tcPr>
            <w:tcW w:type="dxa" w:w="2160"/>
          </w:tcPr>
          <w:p>
            <w:r>
              <w:t>Art. 100</w:t>
            </w:r>
          </w:p>
        </w:tc>
      </w:tr>
      <w:tr>
        <w:tc>
          <w:tcPr>
            <w:tcW w:type="dxa" w:w="2160"/>
          </w:tcPr>
          <w:p>
            <w:r>
              <w:t>Art. 110</w:t>
            </w:r>
          </w:p>
        </w:tc>
        <w:tc>
          <w:tcPr>
            <w:tcW w:type="dxa" w:w="2160"/>
          </w:tcPr>
          <w:p>
            <w:r>
              <w:t>-</w:t>
            </w:r>
          </w:p>
        </w:tc>
        <w:tc>
          <w:tcPr>
            <w:tcW w:type="dxa" w:w="2160"/>
          </w:tcPr>
          <w:p>
            <w:r>
              <w:t>-</w:t>
            </w:r>
          </w:p>
        </w:tc>
        <w:tc>
          <w:tcPr>
            <w:tcW w:type="dxa" w:w="2160"/>
          </w:tcPr>
          <w:p>
            <w:r>
              <w:t>-</w:t>
            </w:r>
          </w:p>
        </w:tc>
      </w:tr>
      <w:tr>
        <w:tc>
          <w:tcPr>
            <w:tcW w:type="dxa" w:w="2160"/>
          </w:tcPr>
          <w:p>
            <w:r>
              <w:t>Art. 111</w:t>
            </w:r>
          </w:p>
        </w:tc>
        <w:tc>
          <w:tcPr>
            <w:tcW w:type="dxa" w:w="2160"/>
          </w:tcPr>
          <w:p>
            <w:r>
              <w:t>Art. 32</w:t>
            </w:r>
          </w:p>
        </w:tc>
        <w:tc>
          <w:tcPr>
            <w:tcW w:type="dxa" w:w="2160"/>
          </w:tcPr>
          <w:p>
            <w:r>
              <w:t>-</w:t>
            </w:r>
          </w:p>
        </w:tc>
        <w:tc>
          <w:tcPr>
            <w:tcW w:type="dxa" w:w="2160"/>
          </w:tcPr>
          <w:p>
            <w:r>
              <w:t>-</w:t>
            </w:r>
          </w:p>
        </w:tc>
      </w:tr>
      <w:tr>
        <w:tc>
          <w:tcPr>
            <w:tcW w:type="dxa" w:w="2160"/>
          </w:tcPr>
          <w:p>
            <w:r>
              <w:t>Art. 112</w:t>
            </w:r>
          </w:p>
        </w:tc>
        <w:tc>
          <w:tcPr>
            <w:tcW w:type="dxa" w:w="2160"/>
          </w:tcPr>
          <w:p>
            <w:r>
              <w:t>Art. 33</w:t>
            </w:r>
          </w:p>
        </w:tc>
        <w:tc>
          <w:tcPr>
            <w:tcW w:type="dxa" w:w="2160"/>
          </w:tcPr>
          <w:p>
            <w:r>
              <w:t>-</w:t>
            </w:r>
          </w:p>
        </w:tc>
        <w:tc>
          <w:tcPr>
            <w:tcW w:type="dxa" w:w="2160"/>
          </w:tcPr>
          <w:p>
            <w:r>
              <w:t>-</w:t>
            </w:r>
          </w:p>
        </w:tc>
      </w:tr>
      <w:tr>
        <w:tc>
          <w:tcPr>
            <w:tcW w:type="dxa" w:w="2160"/>
          </w:tcPr>
          <w:p>
            <w:r>
              <w:t>Art. 113</w:t>
            </w:r>
          </w:p>
        </w:tc>
        <w:tc>
          <w:tcPr>
            <w:tcW w:type="dxa" w:w="2160"/>
          </w:tcPr>
          <w:p>
            <w:r>
              <w:t>Art. 33 Para. 4</w:t>
            </w:r>
          </w:p>
        </w:tc>
        <w:tc>
          <w:tcPr>
            <w:tcW w:type="dxa" w:w="2160"/>
          </w:tcPr>
          <w:p>
            <w:r>
              <w:t>Art. 85</w:t>
            </w:r>
          </w:p>
        </w:tc>
        <w:tc>
          <w:tcPr>
            <w:tcW w:type="dxa" w:w="2160"/>
          </w:tcPr>
          <w:p>
            <w:r>
              <w:t>-</w:t>
            </w:r>
          </w:p>
        </w:tc>
      </w:tr>
      <w:tr>
        <w:tc>
          <w:tcPr>
            <w:tcW w:type="dxa" w:w="2160"/>
          </w:tcPr>
          <w:p>
            <w:r>
              <w:t>Art. 114</w:t>
            </w:r>
          </w:p>
        </w:tc>
        <w:tc>
          <w:tcPr>
            <w:tcW w:type="dxa" w:w="2160"/>
          </w:tcPr>
          <w:p>
            <w:r>
              <w:t>Art. 1 Para. 2</w:t>
            </w:r>
          </w:p>
        </w:tc>
        <w:tc>
          <w:tcPr>
            <w:tcW w:type="dxa" w:w="2160"/>
          </w:tcPr>
          <w:p>
            <w:r>
              <w:t>-</w:t>
            </w:r>
          </w:p>
        </w:tc>
        <w:tc>
          <w:tcPr>
            <w:tcW w:type="dxa" w:w="2160"/>
          </w:tcPr>
          <w:p>
            <w:r>
              <w:t>-</w:t>
            </w:r>
          </w:p>
        </w:tc>
      </w:tr>
      <w:tr>
        <w:tc>
          <w:tcPr>
            <w:tcW w:type="dxa" w:w="2160"/>
          </w:tcPr>
          <w:p>
            <w:r>
              <w:t>Art. 115</w:t>
            </w:r>
          </w:p>
        </w:tc>
        <w:tc>
          <w:tcPr>
            <w:tcW w:type="dxa" w:w="2160"/>
          </w:tcPr>
          <w:p>
            <w:r>
              <w:t>Art. 5</w:t>
            </w:r>
          </w:p>
        </w:tc>
        <w:tc>
          <w:tcPr>
            <w:tcW w:type="dxa" w:w="2160"/>
          </w:tcPr>
          <w:p>
            <w:r>
              <w:t>-</w:t>
            </w:r>
          </w:p>
        </w:tc>
        <w:tc>
          <w:tcPr>
            <w:tcW w:type="dxa" w:w="2160"/>
          </w:tcPr>
          <w:p>
            <w:r>
              <w:t>-</w:t>
            </w:r>
          </w:p>
        </w:tc>
      </w:tr>
      <w:tr>
        <w:tc>
          <w:tcPr>
            <w:tcW w:type="dxa" w:w="2160"/>
          </w:tcPr>
          <w:p>
            <w:r>
              <w:t>Art. 116</w:t>
            </w:r>
          </w:p>
        </w:tc>
        <w:tc>
          <w:tcPr>
            <w:tcW w:type="dxa" w:w="2160"/>
          </w:tcPr>
          <w:p>
            <w:r>
              <w:t>Art. 20</w:t>
            </w:r>
          </w:p>
        </w:tc>
        <w:tc>
          <w:tcPr>
            <w:tcW w:type="dxa" w:w="2160"/>
          </w:tcPr>
          <w:p>
            <w:r>
              <w:t>-</w:t>
            </w:r>
          </w:p>
        </w:tc>
        <w:tc>
          <w:tcPr>
            <w:tcW w:type="dxa" w:w="2160"/>
          </w:tcPr>
          <w:p>
            <w:r>
              <w:t>Art. 5 Para. 4, Sub. 3</w:t>
            </w:r>
          </w:p>
        </w:tc>
      </w:tr>
      <w:tr>
        <w:tc>
          <w:tcPr>
            <w:tcW w:type="dxa" w:w="2160"/>
          </w:tcPr>
          <w:p>
            <w:r>
              <w:t>Art. 116 Para. 2</w:t>
            </w:r>
          </w:p>
        </w:tc>
        <w:tc>
          <w:tcPr>
            <w:tcW w:type="dxa" w:w="2160"/>
          </w:tcPr>
          <w:p>
            <w:r>
              <w:t>Art. 20</w:t>
            </w:r>
          </w:p>
        </w:tc>
        <w:tc>
          <w:tcPr>
            <w:tcW w:type="dxa" w:w="2160"/>
          </w:tcPr>
          <w:p>
            <w:r>
              <w:t>-</w:t>
            </w:r>
          </w:p>
        </w:tc>
        <w:tc>
          <w:tcPr>
            <w:tcW w:type="dxa" w:w="2160"/>
          </w:tcPr>
          <w:p>
            <w:r>
              <w:t>Art. 5 Para. 5</w:t>
            </w:r>
          </w:p>
        </w:tc>
      </w:tr>
      <w:tr>
        <w:tc>
          <w:tcPr>
            <w:tcW w:type="dxa" w:w="2160"/>
          </w:tcPr>
          <w:p>
            <w:r>
              <w:t>Art. 117</w:t>
            </w:r>
          </w:p>
        </w:tc>
        <w:tc>
          <w:tcPr>
            <w:tcW w:type="dxa" w:w="2160"/>
          </w:tcPr>
          <w:p>
            <w:r>
              <w:t>Art. 10, 11, 12</w:t>
            </w:r>
          </w:p>
        </w:tc>
        <w:tc>
          <w:tcPr>
            <w:tcW w:type="dxa" w:w="2160"/>
          </w:tcPr>
          <w:p>
            <w:r>
              <w:t>-</w:t>
            </w:r>
          </w:p>
        </w:tc>
        <w:tc>
          <w:tcPr>
            <w:tcW w:type="dxa" w:w="2160"/>
          </w:tcPr>
          <w:p>
            <w:r>
              <w:t>-</w:t>
            </w:r>
          </w:p>
        </w:tc>
      </w:tr>
      <w:tr>
        <w:tc>
          <w:tcPr>
            <w:tcW w:type="dxa" w:w="2160"/>
          </w:tcPr>
          <w:p>
            <w:r>
              <w:t>Art. 118</w:t>
            </w:r>
          </w:p>
        </w:tc>
        <w:tc>
          <w:tcPr>
            <w:tcW w:type="dxa" w:w="2160"/>
          </w:tcPr>
          <w:p>
            <w:r>
              <w:t>Art. 8</w:t>
            </w:r>
          </w:p>
        </w:tc>
        <w:tc>
          <w:tcPr>
            <w:tcW w:type="dxa" w:w="2160"/>
          </w:tcPr>
          <w:p>
            <w:r>
              <w:t>-</w:t>
            </w:r>
          </w:p>
        </w:tc>
        <w:tc>
          <w:tcPr>
            <w:tcW w:type="dxa" w:w="2160"/>
          </w:tcPr>
          <w:p>
            <w:r>
              <w:t>-</w:t>
            </w:r>
          </w:p>
        </w:tc>
      </w:tr>
      <w:tr>
        <w:tc>
          <w:tcPr>
            <w:tcW w:type="dxa" w:w="2160"/>
          </w:tcPr>
          <w:p>
            <w:r>
              <w:t>Art. 119</w:t>
            </w:r>
          </w:p>
        </w:tc>
        <w:tc>
          <w:tcPr>
            <w:tcW w:type="dxa" w:w="2160"/>
          </w:tcPr>
          <w:p>
            <w:r>
              <w:t>Art. 53</w:t>
            </w:r>
          </w:p>
        </w:tc>
        <w:tc>
          <w:tcPr>
            <w:tcW w:type="dxa" w:w="2160"/>
          </w:tcPr>
          <w:p>
            <w:r>
              <w:t>-</w:t>
            </w:r>
          </w:p>
        </w:tc>
        <w:tc>
          <w:tcPr>
            <w:tcW w:type="dxa" w:w="2160"/>
          </w:tcPr>
          <w:p>
            <w:r>
              <w:t>-</w:t>
            </w:r>
          </w:p>
        </w:tc>
      </w:tr>
      <w:tr>
        <w:tc>
          <w:tcPr>
            <w:tcW w:type="dxa" w:w="2160"/>
          </w:tcPr>
          <w:p>
            <w:r>
              <w:t>Art. 120</w:t>
            </w:r>
          </w:p>
        </w:tc>
        <w:tc>
          <w:tcPr>
            <w:tcW w:type="dxa" w:w="2160"/>
          </w:tcPr>
          <w:p>
            <w:r>
              <w:t>-</w:t>
            </w:r>
          </w:p>
        </w:tc>
        <w:tc>
          <w:tcPr>
            <w:tcW w:type="dxa" w:w="2160"/>
          </w:tcPr>
          <w:p>
            <w:r>
              <w:t>-</w:t>
            </w:r>
          </w:p>
        </w:tc>
        <w:tc>
          <w:tcPr>
            <w:tcW w:type="dxa" w:w="2160"/>
          </w:tcPr>
          <w:p>
            <w:r>
              <w:t>-</w:t>
            </w:r>
          </w:p>
        </w:tc>
      </w:tr>
      <w:tr>
        <w:tc>
          <w:tcPr>
            <w:tcW w:type="dxa" w:w="2160"/>
          </w:tcPr>
          <w:p>
            <w:r>
              <w:t>Art. 121</w:t>
            </w:r>
          </w:p>
        </w:tc>
        <w:tc>
          <w:tcPr>
            <w:tcW w:type="dxa" w:w="2160"/>
          </w:tcPr>
          <w:p>
            <w:r>
              <w:t>-</w:t>
            </w:r>
          </w:p>
        </w:tc>
        <w:tc>
          <w:tcPr>
            <w:tcW w:type="dxa" w:w="2160"/>
          </w:tcPr>
          <w:p>
            <w:r>
              <w:t>-</w:t>
            </w:r>
          </w:p>
        </w:tc>
        <w:tc>
          <w:tcPr>
            <w:tcW w:type="dxa" w:w="2160"/>
          </w:tcPr>
          <w:p>
            <w:r>
              <w:t>-</w:t>
            </w:r>
          </w:p>
        </w:tc>
      </w:tr>
      <w:tr>
        <w:tc>
          <w:tcPr>
            <w:tcW w:type="dxa" w:w="2160"/>
          </w:tcPr>
          <w:p>
            <w:r>
              <w:t>Art. 122</w:t>
            </w:r>
          </w:p>
        </w:tc>
        <w:tc>
          <w:tcPr>
            <w:tcW w:type="dxa" w:w="2160"/>
          </w:tcPr>
          <w:p>
            <w:r>
              <w:t>Art. 18</w:t>
            </w:r>
          </w:p>
        </w:tc>
        <w:tc>
          <w:tcPr>
            <w:tcW w:type="dxa" w:w="2160"/>
          </w:tcPr>
          <w:p>
            <w:r>
              <w:t>-</w:t>
            </w:r>
          </w:p>
        </w:tc>
        <w:tc>
          <w:tcPr>
            <w:tcW w:type="dxa" w:w="2160"/>
          </w:tcPr>
          <w:p>
            <w:r>
              <w:t>-</w:t>
            </w:r>
          </w:p>
        </w:tc>
      </w:tr>
      <w:tr>
        <w:tc>
          <w:tcPr>
            <w:tcW w:type="dxa" w:w="2160"/>
          </w:tcPr>
          <w:p>
            <w:r>
              <w:t>Art. 123</w:t>
            </w:r>
          </w:p>
        </w:tc>
        <w:tc>
          <w:tcPr>
            <w:tcW w:type="dxa" w:w="2160"/>
          </w:tcPr>
          <w:p>
            <w:r>
              <w:t>Art. 41</w:t>
            </w:r>
          </w:p>
        </w:tc>
        <w:tc>
          <w:tcPr>
            <w:tcW w:type="dxa" w:w="2160"/>
          </w:tcPr>
          <w:p>
            <w:r>
              <w:t>-</w:t>
            </w:r>
          </w:p>
        </w:tc>
        <w:tc>
          <w:tcPr>
            <w:tcW w:type="dxa" w:w="2160"/>
          </w:tcPr>
          <w:p>
            <w:r>
              <w:t>-</w:t>
            </w:r>
          </w:p>
        </w:tc>
      </w:tr>
      <w:tr>
        <w:tc>
          <w:tcPr>
            <w:tcW w:type="dxa" w:w="2160"/>
          </w:tcPr>
          <w:p>
            <w:r>
              <w:t>Art. 124</w:t>
            </w:r>
          </w:p>
        </w:tc>
        <w:tc>
          <w:tcPr>
            <w:tcW w:type="dxa" w:w="2160"/>
          </w:tcPr>
          <w:p>
            <w:r>
              <w:t>-</w:t>
            </w:r>
          </w:p>
        </w:tc>
        <w:tc>
          <w:tcPr>
            <w:tcW w:type="dxa" w:w="2160"/>
          </w:tcPr>
          <w:p>
            <w:r>
              <w:t>-</w:t>
            </w:r>
          </w:p>
        </w:tc>
        <w:tc>
          <w:tcPr>
            <w:tcW w:type="dxa" w:w="2160"/>
          </w:tcPr>
          <w:p>
            <w:r>
              <w:t>-</w:t>
            </w:r>
          </w:p>
        </w:tc>
      </w:tr>
      <w:tr>
        <w:tc>
          <w:tcPr>
            <w:tcW w:type="dxa" w:w="2160"/>
          </w:tcPr>
          <w:p>
            <w:r>
              <w:t>Art. 125</w:t>
            </w:r>
          </w:p>
        </w:tc>
        <w:tc>
          <w:tcPr>
            <w:tcW w:type="dxa" w:w="2160"/>
          </w:tcPr>
          <w:p>
            <w:r>
              <w:t>Art. 43</w:t>
            </w:r>
          </w:p>
        </w:tc>
        <w:tc>
          <w:tcPr>
            <w:tcW w:type="dxa" w:w="2160"/>
          </w:tcPr>
          <w:p>
            <w:r>
              <w:t>-</w:t>
            </w:r>
          </w:p>
        </w:tc>
        <w:tc>
          <w:tcPr>
            <w:tcW w:type="dxa" w:w="2160"/>
          </w:tcPr>
          <w:p>
            <w:r>
              <w:t>-</w:t>
            </w:r>
          </w:p>
        </w:tc>
      </w:tr>
      <w:tr>
        <w:tc>
          <w:tcPr>
            <w:tcW w:type="dxa" w:w="2160"/>
          </w:tcPr>
          <w:p>
            <w:r>
              <w:t>Art. 126</w:t>
            </w:r>
          </w:p>
        </w:tc>
        <w:tc>
          <w:tcPr>
            <w:tcW w:type="dxa" w:w="2160"/>
          </w:tcPr>
          <w:p>
            <w:r>
              <w:t>Art. 44</w:t>
            </w:r>
          </w:p>
        </w:tc>
        <w:tc>
          <w:tcPr>
            <w:tcW w:type="dxa" w:w="2160"/>
          </w:tcPr>
          <w:p>
            <w:r>
              <w:t>-</w:t>
            </w:r>
          </w:p>
        </w:tc>
        <w:tc>
          <w:tcPr>
            <w:tcW w:type="dxa" w:w="2160"/>
          </w:tcPr>
          <w:p>
            <w:r>
              <w:t>-</w:t>
            </w:r>
          </w:p>
        </w:tc>
      </w:tr>
      <w:tr>
        <w:tc>
          <w:tcPr>
            <w:tcW w:type="dxa" w:w="2160"/>
          </w:tcPr>
          <w:p>
            <w:r>
              <w:t>Art. 127</w:t>
            </w:r>
          </w:p>
        </w:tc>
        <w:tc>
          <w:tcPr>
            <w:tcW w:type="dxa" w:w="2160"/>
          </w:tcPr>
          <w:p>
            <w:r>
              <w:t>-</w:t>
            </w:r>
          </w:p>
        </w:tc>
        <w:tc>
          <w:tcPr>
            <w:tcW w:type="dxa" w:w="2160"/>
          </w:tcPr>
          <w:p>
            <w:r>
              <w:t>-</w:t>
            </w:r>
          </w:p>
        </w:tc>
        <w:tc>
          <w:tcPr>
            <w:tcW w:type="dxa" w:w="2160"/>
          </w:tcPr>
          <w:p>
            <w:r>
              <w:t>-</w:t>
            </w:r>
          </w:p>
        </w:tc>
      </w:tr>
      <w:tr>
        <w:tc>
          <w:tcPr>
            <w:tcW w:type="dxa" w:w="2160"/>
          </w:tcPr>
          <w:p>
            <w:r>
              <w:t>Art. 128</w:t>
            </w:r>
          </w:p>
        </w:tc>
        <w:tc>
          <w:tcPr>
            <w:tcW w:type="dxa" w:w="2160"/>
          </w:tcPr>
          <w:p>
            <w:r>
              <w:t>-</w:t>
            </w:r>
          </w:p>
        </w:tc>
        <w:tc>
          <w:tcPr>
            <w:tcW w:type="dxa" w:w="2160"/>
          </w:tcPr>
          <w:p>
            <w:r>
              <w:t>-</w:t>
            </w:r>
          </w:p>
        </w:tc>
        <w:tc>
          <w:tcPr>
            <w:tcW w:type="dxa" w:w="2160"/>
          </w:tcPr>
          <w:p>
            <w:r>
              <w:t>-</w:t>
            </w:r>
          </w:p>
        </w:tc>
      </w:tr>
      <w:tr>
        <w:tc>
          <w:tcPr>
            <w:tcW w:type="dxa" w:w="2160"/>
          </w:tcPr>
          <w:p>
            <w:r>
              <w:t>Art. 129</w:t>
            </w:r>
          </w:p>
        </w:tc>
        <w:tc>
          <w:tcPr>
            <w:tcW w:type="dxa" w:w="2160"/>
          </w:tcPr>
          <w:p>
            <w:r>
              <w:t>-</w:t>
            </w:r>
          </w:p>
        </w:tc>
        <w:tc>
          <w:tcPr>
            <w:tcW w:type="dxa" w:w="2160"/>
          </w:tcPr>
          <w:p>
            <w:r>
              <w:t>-</w:t>
            </w:r>
          </w:p>
        </w:tc>
        <w:tc>
          <w:tcPr>
            <w:tcW w:type="dxa" w:w="2160"/>
          </w:tcPr>
          <w:p>
            <w:r>
              <w:t>-</w:t>
            </w:r>
          </w:p>
        </w:tc>
      </w:tr>
      <w:tr>
        <w:tc>
          <w:tcPr>
            <w:tcW w:type="dxa" w:w="2160"/>
          </w:tcPr>
          <w:p>
            <w:r>
              <w:t>Art. 130</w:t>
            </w:r>
          </w:p>
        </w:tc>
        <w:tc>
          <w:tcPr>
            <w:tcW w:type="dxa" w:w="2160"/>
          </w:tcPr>
          <w:p>
            <w:r>
              <w:t>-</w:t>
            </w:r>
          </w:p>
        </w:tc>
        <w:tc>
          <w:tcPr>
            <w:tcW w:type="dxa" w:w="2160"/>
          </w:tcPr>
          <w:p>
            <w:r>
              <w:t>-</w:t>
            </w:r>
          </w:p>
        </w:tc>
        <w:tc>
          <w:tcPr>
            <w:tcW w:type="dxa" w:w="2160"/>
          </w:tcPr>
          <w:p>
            <w:r>
              <w:t>-</w:t>
            </w:r>
          </w:p>
        </w:tc>
      </w:tr>
      <w:tr>
        <w:tc>
          <w:tcPr>
            <w:tcW w:type="dxa" w:w="2160"/>
          </w:tcPr>
          <w:p>
            <w:r>
              <w:t>Art. 131</w:t>
            </w:r>
          </w:p>
        </w:tc>
        <w:tc>
          <w:tcPr>
            <w:tcW w:type="dxa" w:w="2160"/>
          </w:tcPr>
          <w:p>
            <w:r>
              <w:t>-</w:t>
            </w:r>
          </w:p>
        </w:tc>
        <w:tc>
          <w:tcPr>
            <w:tcW w:type="dxa" w:w="2160"/>
          </w:tcPr>
          <w:p>
            <w:r>
              <w:t>-</w:t>
            </w:r>
          </w:p>
        </w:tc>
        <w:tc>
          <w:tcPr>
            <w:tcW w:type="dxa" w:w="2160"/>
          </w:tcPr>
          <w:p>
            <w:r>
              <w:t>-</w:t>
            </w:r>
          </w:p>
        </w:tc>
      </w:tr>
      <w:tr>
        <w:tc>
          <w:tcPr>
            <w:tcW w:type="dxa" w:w="2160"/>
          </w:tcPr>
          <w:p>
            <w:r>
              <w:t>Art. 132</w:t>
            </w:r>
          </w:p>
        </w:tc>
        <w:tc>
          <w:tcPr>
            <w:tcW w:type="dxa" w:w="2160"/>
          </w:tcPr>
          <w:p>
            <w:r>
              <w:t>-</w:t>
            </w:r>
          </w:p>
        </w:tc>
        <w:tc>
          <w:tcPr>
            <w:tcW w:type="dxa" w:w="2160"/>
          </w:tcPr>
          <w:p>
            <w:r>
              <w:t>-</w:t>
            </w:r>
          </w:p>
        </w:tc>
        <w:tc>
          <w:tcPr>
            <w:tcW w:type="dxa" w:w="2160"/>
          </w:tcPr>
          <w:p>
            <w:r>
              <w:t>-</w:t>
            </w:r>
          </w:p>
        </w:tc>
      </w:tr>
      <w:tr>
        <w:tc>
          <w:tcPr>
            <w:tcW w:type="dxa" w:w="2160"/>
          </w:tcPr>
          <w:p>
            <w:r>
              <w:t>Art. 133</w:t>
            </w:r>
          </w:p>
        </w:tc>
        <w:tc>
          <w:tcPr>
            <w:tcW w:type="dxa" w:w="2160"/>
          </w:tcPr>
          <w:p>
            <w:r>
              <w:t>-</w:t>
            </w:r>
          </w:p>
        </w:tc>
        <w:tc>
          <w:tcPr>
            <w:tcW w:type="dxa" w:w="2160"/>
          </w:tcPr>
          <w:p>
            <w:r>
              <w:t>-</w:t>
            </w:r>
          </w:p>
        </w:tc>
        <w:tc>
          <w:tcPr>
            <w:tcW w:type="dxa" w:w="2160"/>
          </w:tcPr>
          <w:p>
            <w:r>
              <w:t>-</w:t>
            </w:r>
          </w:p>
        </w:tc>
      </w:tr>
      <w:tr>
        <w:tc>
          <w:tcPr>
            <w:tcW w:type="dxa" w:w="2160"/>
          </w:tcPr>
          <w:p>
            <w:r>
              <w:t>Art. 134</w:t>
            </w:r>
          </w:p>
        </w:tc>
        <w:tc>
          <w:tcPr>
            <w:tcW w:type="dxa" w:w="2160"/>
          </w:tcPr>
          <w:p>
            <w:r>
              <w:t>-</w:t>
            </w:r>
          </w:p>
        </w:tc>
        <w:tc>
          <w:tcPr>
            <w:tcW w:type="dxa" w:w="2160"/>
          </w:tcPr>
          <w:p>
            <w:r>
              <w:t>-</w:t>
            </w:r>
          </w:p>
        </w:tc>
        <w:tc>
          <w:tcPr>
            <w:tcW w:type="dxa" w:w="2160"/>
          </w:tcPr>
          <w:p>
            <w:r>
              <w:t>-</w:t>
            </w:r>
          </w:p>
        </w:tc>
      </w:tr>
      <w:tr>
        <w:tc>
          <w:tcPr>
            <w:tcW w:type="dxa" w:w="2160"/>
          </w:tcPr>
          <w:p>
            <w:r>
              <w:t>Art. 135</w:t>
            </w:r>
          </w:p>
        </w:tc>
        <w:tc>
          <w:tcPr>
            <w:tcW w:type="dxa" w:w="2160"/>
          </w:tcPr>
          <w:p>
            <w:r>
              <w:t>-</w:t>
            </w:r>
          </w:p>
        </w:tc>
        <w:tc>
          <w:tcPr>
            <w:tcW w:type="dxa" w:w="2160"/>
          </w:tcPr>
          <w:p>
            <w:r>
              <w:t>-</w:t>
            </w:r>
          </w:p>
        </w:tc>
        <w:tc>
          <w:tcPr>
            <w:tcW w:type="dxa" w:w="2160"/>
          </w:tcPr>
          <w:p>
            <w:r>
              <w:t>-</w:t>
            </w:r>
          </w:p>
        </w:tc>
      </w:tr>
      <w:tr>
        <w:tc>
          <w:tcPr>
            <w:tcW w:type="dxa" w:w="2160"/>
          </w:tcPr>
          <w:p>
            <w:r>
              <w:t>Art. 136</w:t>
            </w:r>
          </w:p>
        </w:tc>
        <w:tc>
          <w:tcPr>
            <w:tcW w:type="dxa" w:w="2160"/>
          </w:tcPr>
          <w:p>
            <w:r>
              <w:t>-</w:t>
            </w:r>
          </w:p>
        </w:tc>
        <w:tc>
          <w:tcPr>
            <w:tcW w:type="dxa" w:w="2160"/>
          </w:tcPr>
          <w:p>
            <w:r>
              <w:t>-</w:t>
            </w:r>
          </w:p>
        </w:tc>
        <w:tc>
          <w:tcPr>
            <w:tcW w:type="dxa" w:w="2160"/>
          </w:tcPr>
          <w:p>
            <w:r>
              <w:t>-</w:t>
            </w:r>
          </w:p>
        </w:tc>
      </w:tr>
      <w:tr>
        <w:tc>
          <w:tcPr>
            <w:tcW w:type="dxa" w:w="2160"/>
          </w:tcPr>
          <w:p>
            <w:r>
              <w:t>Art. 137</w:t>
            </w:r>
          </w:p>
        </w:tc>
        <w:tc>
          <w:tcPr>
            <w:tcW w:type="dxa" w:w="2160"/>
          </w:tcPr>
          <w:p>
            <w:r>
              <w:t>Art. 45</w:t>
            </w:r>
          </w:p>
        </w:tc>
        <w:tc>
          <w:tcPr>
            <w:tcW w:type="dxa" w:w="2160"/>
          </w:tcPr>
          <w:p>
            <w:r>
              <w:t>Art. 83</w:t>
            </w:r>
          </w:p>
        </w:tc>
        <w:tc>
          <w:tcPr>
            <w:tcW w:type="dxa" w:w="2160"/>
          </w:tcPr>
          <w:p>
            <w:r>
              <w:t>Art. 99 Para. 2</w:t>
            </w:r>
          </w:p>
        </w:tc>
      </w:tr>
      <w:tr>
        <w:tc>
          <w:tcPr>
            <w:tcW w:type="dxa" w:w="2160"/>
          </w:tcPr>
          <w:p>
            <w:r>
              <w:t>Art. 138</w:t>
            </w:r>
          </w:p>
        </w:tc>
        <w:tc>
          <w:tcPr>
            <w:tcW w:type="dxa" w:w="2160"/>
          </w:tcPr>
          <w:p>
            <w:r>
              <w:t>-</w:t>
            </w:r>
          </w:p>
        </w:tc>
        <w:tc>
          <w:tcPr>
            <w:tcW w:type="dxa" w:w="2160"/>
          </w:tcPr>
          <w:p>
            <w:r>
              <w:t>-</w:t>
            </w:r>
          </w:p>
        </w:tc>
        <w:tc>
          <w:tcPr>
            <w:tcW w:type="dxa" w:w="2160"/>
          </w:tcPr>
          <w:p>
            <w:r>
              <w:t>-</w:t>
            </w:r>
          </w:p>
        </w:tc>
      </w:tr>
      <w:tr>
        <w:tc>
          <w:tcPr>
            <w:tcW w:type="dxa" w:w="2160"/>
          </w:tcPr>
          <w:p>
            <w:r>
              <w:t>Art. 139</w:t>
            </w:r>
          </w:p>
        </w:tc>
        <w:tc>
          <w:tcPr>
            <w:tcW w:type="dxa" w:w="2160"/>
          </w:tcPr>
          <w:p>
            <w:r>
              <w:t>-</w:t>
            </w:r>
          </w:p>
        </w:tc>
        <w:tc>
          <w:tcPr>
            <w:tcW w:type="dxa" w:w="2160"/>
          </w:tcPr>
          <w:p>
            <w:r>
              <w:t>-</w:t>
            </w:r>
          </w:p>
        </w:tc>
        <w:tc>
          <w:tcPr>
            <w:tcW w:type="dxa" w:w="2160"/>
          </w:tcPr>
          <w:p>
            <w:r>
              <w:t>Recital 127</w:t>
            </w:r>
          </w:p>
        </w:tc>
      </w:tr>
      <w:tr>
        <w:tc>
          <w:tcPr>
            <w:tcW w:type="dxa" w:w="2160"/>
          </w:tcPr>
          <w:p>
            <w:r>
              <w:t>Art. 140</w:t>
            </w:r>
          </w:p>
        </w:tc>
        <w:tc>
          <w:tcPr>
            <w:tcW w:type="dxa" w:w="2160"/>
          </w:tcPr>
          <w:p>
            <w:r>
              <w:t>Art. 35</w:t>
            </w:r>
          </w:p>
        </w:tc>
        <w:tc>
          <w:tcPr>
            <w:tcW w:type="dxa" w:w="2160"/>
          </w:tcPr>
          <w:p>
            <w:r>
              <w:t>-</w:t>
            </w:r>
          </w:p>
        </w:tc>
        <w:tc>
          <w:tcPr>
            <w:tcW w:type="dxa" w:w="2160"/>
          </w:tcPr>
          <w:p>
            <w:r>
              <w:t>-</w:t>
            </w:r>
          </w:p>
        </w:tc>
      </w:tr>
      <w:tr>
        <w:tc>
          <w:tcPr>
            <w:tcW w:type="dxa" w:w="2160"/>
          </w:tcPr>
          <w:p>
            <w:r>
              <w:t>Art. 141</w:t>
            </w:r>
          </w:p>
        </w:tc>
        <w:tc>
          <w:tcPr>
            <w:tcW w:type="dxa" w:w="2160"/>
          </w:tcPr>
          <w:p>
            <w:r>
              <w:t>Art. 48</w:t>
            </w:r>
          </w:p>
        </w:tc>
        <w:tc>
          <w:tcPr>
            <w:tcW w:type="dxa" w:w="2160"/>
          </w:tcPr>
          <w:p>
            <w:r>
              <w:t>Art. 87</w:t>
            </w:r>
          </w:p>
        </w:tc>
        <w:tc>
          <w:tcPr>
            <w:tcW w:type="dxa" w:w="2160"/>
          </w:tcPr>
          <w:p>
            <w:r>
              <w:t>Art. 103</w:t>
            </w:r>
          </w:p>
        </w:tc>
      </w:tr>
      <w:tr>
        <w:tc>
          <w:tcPr>
            <w:tcW w:type="dxa" w:w="2160"/>
          </w:tcPr>
          <w:p>
            <w:r>
              <w:t>Art. 142</w:t>
            </w:r>
          </w:p>
        </w:tc>
        <w:tc>
          <w:tcPr>
            <w:tcW w:type="dxa" w:w="2160"/>
          </w:tcPr>
          <w:p>
            <w:r>
              <w:t>Art. 49</w:t>
            </w:r>
          </w:p>
        </w:tc>
        <w:tc>
          <w:tcPr>
            <w:tcW w:type="dxa" w:w="2160"/>
          </w:tcPr>
          <w:p>
            <w:r>
              <w:t>Art. 88</w:t>
            </w:r>
          </w:p>
        </w:tc>
        <w:tc>
          <w:tcPr>
            <w:tcW w:type="dxa" w:w="2160"/>
          </w:tcPr>
          <w:p>
            <w:r>
              <w:t>Art. 104</w:t>
            </w:r>
          </w:p>
        </w:tc>
      </w:tr>
      <w:tr>
        <w:tc>
          <w:tcPr>
            <w:tcW w:type="dxa" w:w="2160"/>
          </w:tcPr>
          <w:p>
            <w:r>
              <w:t>Art. 143</w:t>
            </w:r>
          </w:p>
        </w:tc>
        <w:tc>
          <w:tcPr>
            <w:tcW w:type="dxa" w:w="2160"/>
          </w:tcPr>
          <w:p>
            <w:r>
              <w:t>Art. 50</w:t>
            </w:r>
          </w:p>
        </w:tc>
        <w:tc>
          <w:tcPr>
            <w:tcW w:type="dxa" w:w="2160"/>
          </w:tcPr>
          <w:p>
            <w:r>
              <w:t>Art. 89</w:t>
            </w:r>
          </w:p>
        </w:tc>
        <w:tc>
          <w:tcPr>
            <w:tcW w:type="dxa" w:w="2160"/>
          </w:tcPr>
          <w:p>
            <w:r>
              <w:t>Art. 105</w:t>
            </w:r>
          </w:p>
        </w:tc>
      </w:tr>
      <w:tr>
        <w:tc>
          <w:tcPr>
            <w:tcW w:type="dxa" w:w="2160"/>
          </w:tcPr>
          <w:p>
            <w:r>
              <w:t>Art. 144</w:t>
            </w:r>
          </w:p>
        </w:tc>
        <w:tc>
          <w:tcPr>
            <w:tcW w:type="dxa" w:w="2160"/>
          </w:tcPr>
          <w:p>
            <w:r>
              <w:t>-</w:t>
            </w:r>
          </w:p>
        </w:tc>
        <w:tc>
          <w:tcPr>
            <w:tcW w:type="dxa" w:w="2160"/>
          </w:tcPr>
          <w:p>
            <w:r>
              <w:t>-</w:t>
            </w:r>
          </w:p>
        </w:tc>
        <w:tc>
          <w:tcPr>
            <w:tcW w:type="dxa" w:w="2160"/>
          </w:tcPr>
          <w:p>
            <w:r>
              <w:t>-</w:t>
            </w:r>
          </w:p>
        </w:tc>
      </w:tr>
      <w:tr>
        <w:tc>
          <w:tcPr>
            <w:tcW w:type="dxa" w:w="2160"/>
          </w:tcPr>
          <w:p>
            <w:r>
              <w:t>Art. 145</w:t>
            </w:r>
          </w:p>
        </w:tc>
        <w:tc>
          <w:tcPr>
            <w:tcW w:type="dxa" w:w="2160"/>
          </w:tcPr>
          <w:p>
            <w:r>
              <w:t>-</w:t>
            </w:r>
          </w:p>
        </w:tc>
        <w:tc>
          <w:tcPr>
            <w:tcW w:type="dxa" w:w="2160"/>
          </w:tcPr>
          <w:p>
            <w:r>
              <w:t>-</w:t>
            </w:r>
          </w:p>
        </w:tc>
        <w:tc>
          <w:tcPr>
            <w:tcW w:type="dxa" w:w="2160"/>
          </w:tcPr>
          <w:p>
            <w:r>
              <w:t>-</w:t>
            </w:r>
          </w:p>
        </w:tc>
      </w:tr>
      <w:tr>
        <w:tc>
          <w:tcPr>
            <w:tcW w:type="dxa" w:w="2160"/>
          </w:tcPr>
          <w:p>
            <w:r>
              <w:t>Art. 146</w:t>
            </w:r>
          </w:p>
        </w:tc>
        <w:tc>
          <w:tcPr>
            <w:tcW w:type="dxa" w:w="2160"/>
          </w:tcPr>
          <w:p>
            <w:r>
              <w:t>-</w:t>
            </w:r>
          </w:p>
        </w:tc>
        <w:tc>
          <w:tcPr>
            <w:tcW w:type="dxa" w:w="2160"/>
          </w:tcPr>
          <w:p>
            <w:r>
              <w:t>Art. 91</w:t>
            </w:r>
          </w:p>
        </w:tc>
        <w:tc>
          <w:tcPr>
            <w:tcW w:type="dxa" w:w="2160"/>
          </w:tcPr>
          <w:p>
            <w:r>
              <w:t>Art. 107</w:t>
            </w:r>
          </w:p>
        </w:tc>
      </w:tr>
      <w:tr>
        <w:tc>
          <w:tcPr>
            <w:tcW w:type="dxa" w:w="2160"/>
          </w:tcPr>
          <w:p>
            <w:r>
              <w:t>Art. 147</w:t>
            </w:r>
          </w:p>
        </w:tc>
        <w:tc>
          <w:tcPr>
            <w:tcW w:type="dxa" w:w="2160"/>
          </w:tcPr>
          <w:p>
            <w:r>
              <w:t>-</w:t>
            </w:r>
          </w:p>
        </w:tc>
        <w:tc>
          <w:tcPr>
            <w:tcW w:type="dxa" w:w="2160"/>
          </w:tcPr>
          <w:p>
            <w:r>
              <w:t>-</w:t>
            </w:r>
          </w:p>
        </w:tc>
        <w:tc>
          <w:tcPr>
            <w:tcW w:type="dxa" w:w="2160"/>
          </w:tcPr>
          <w:p>
            <w:r>
              <w:t>-</w:t>
            </w:r>
          </w:p>
        </w:tc>
      </w:tr>
      <w:tr>
        <w:tc>
          <w:tcPr>
            <w:tcW w:type="dxa" w:w="2160"/>
          </w:tcPr>
          <w:p>
            <w:r>
              <w:t>Art. 148</w:t>
            </w:r>
          </w:p>
        </w:tc>
        <w:tc>
          <w:tcPr>
            <w:tcW w:type="dxa" w:w="2160"/>
          </w:tcPr>
          <w:p>
            <w:r>
              <w:t>Art. 53 Sub. 4</w:t>
            </w:r>
          </w:p>
        </w:tc>
        <w:tc>
          <w:tcPr>
            <w:tcW w:type="dxa" w:w="2160"/>
          </w:tcPr>
          <w:p>
            <w:r>
              <w:t>Art. 92</w:t>
            </w:r>
          </w:p>
        </w:tc>
        <w:tc>
          <w:tcPr>
            <w:tcW w:type="dxa" w:w="2160"/>
          </w:tcPr>
          <w:p>
            <w:r>
              <w:t>Art. 108</w:t>
            </w:r>
          </w:p>
        </w:tc>
      </w:tr>
      <w:tr>
        <w:tc>
          <w:tcPr>
            <w:tcW w:type="dxa" w:w="2160"/>
          </w:tcPr>
          <w:p>
            <w:r>
              <w:t>Art. 149</w:t>
            </w:r>
          </w:p>
        </w:tc>
        <w:tc>
          <w:tcPr>
            <w:tcW w:type="dxa" w:w="2160"/>
          </w:tcPr>
          <w:p>
            <w:r>
              <w:t>Art. 54</w:t>
            </w:r>
          </w:p>
        </w:tc>
        <w:tc>
          <w:tcPr>
            <w:tcW w:type="dxa" w:w="2160"/>
          </w:tcPr>
          <w:p>
            <w:r>
              <w:t>Art. 93</w:t>
            </w:r>
          </w:p>
        </w:tc>
        <w:tc>
          <w:tcPr>
            <w:tcW w:type="dxa" w:w="2160"/>
          </w:tcPr>
          <w:p>
            <w:r>
              <w:t>Art. 109</w:t>
            </w:r>
          </w:p>
        </w:tc>
      </w:tr>
      <w:tr>
        <w:tc>
          <w:tcPr>
            <w:tcW w:type="dxa" w:w="2160"/>
          </w:tcPr>
          <w:p>
            <w:r>
              <w:t>Deleted provision</w:t>
            </w:r>
          </w:p>
        </w:tc>
        <w:tc>
          <w:tcPr>
            <w:tcW w:type="dxa" w:w="2160"/>
          </w:tcPr>
          <w:p>
            <w:r>
              <w:t>This Regulation</w:t>
            </w:r>
          </w:p>
        </w:tc>
        <w:tc>
          <w:tcPr>
            <w:tcW w:type="dxa" w:w="2160"/>
          </w:tcPr>
          <w:p>
            <w:r/>
          </w:p>
        </w:tc>
        <w:tc>
          <w:tcPr>
            <w:tcW w:type="dxa" w:w="2160"/>
          </w:tcPr>
          <w:p>
            <w:r/>
          </w:p>
        </w:tc>
      </w:tr>
      <w:tr>
        <w:tc>
          <w:tcPr>
            <w:tcW w:type="dxa" w:w="2160"/>
          </w:tcPr>
          <w:p>
            <w:r>
              <w:t>Article 65 of Regulation (EU) 2024/1781</w:t>
            </w:r>
          </w:p>
        </w:tc>
        <w:tc>
          <w:tcPr>
            <w:tcW w:type="dxa" w:w="2160"/>
          </w:tcPr>
          <w:p>
            <w:r>
              <w:t>Article 54</w:t>
            </w:r>
          </w:p>
        </w:tc>
        <w:tc>
          <w:tcPr>
            <w:tcW w:type="dxa" w:w="2160"/>
          </w:tcPr>
          <w:p>
            <w:r/>
          </w:p>
        </w:tc>
        <w:tc>
          <w:tcPr>
            <w:tcW w:type="dxa" w:w="2160"/>
          </w:tcPr>
          <w:p>
            <w:r/>
          </w:p>
        </w:tc>
      </w:tr>
      <w:tr>
        <w:tc>
          <w:tcPr>
            <w:tcW w:type="dxa" w:w="2160"/>
          </w:tcPr>
          <w:p>
            <w:r>
              <w:t>Article 74(3), point (b) of Regulation (EU) 2024/1781</w:t>
            </w:r>
          </w:p>
        </w:tc>
        <w:tc>
          <w:tcPr>
            <w:tcW w:type="dxa" w:w="2160"/>
          </w:tcPr>
          <w:p>
            <w:r>
              <w:t>Article 26(1), point (a)</w:t>
            </w:r>
          </w:p>
        </w:tc>
        <w:tc>
          <w:tcPr>
            <w:tcW w:type="dxa" w:w="2160"/>
          </w:tcPr>
          <w:p>
            <w:r/>
          </w:p>
        </w:tc>
        <w:tc>
          <w:tcPr>
            <w:tcW w:type="dxa" w:w="2160"/>
          </w:tcPr>
          <w:p>
            <w:r/>
          </w:p>
        </w:tc>
      </w:tr>
      <w:tr>
        <w:tc>
          <w:tcPr>
            <w:tcW w:type="dxa" w:w="2160"/>
          </w:tcPr>
          <w:p>
            <w:r>
              <w:t>Article 25(4) and (5) of Regulation (EU) 2024/1735</w:t>
            </w:r>
          </w:p>
        </w:tc>
        <w:tc>
          <w:tcPr>
            <w:tcW w:type="dxa" w:w="2160"/>
          </w:tcPr>
          <w:p>
            <w:r>
              <w:t>Article 54</w:t>
            </w:r>
          </w:p>
        </w:tc>
        <w:tc>
          <w:tcPr>
            <w:tcW w:type="dxa" w:w="2160"/>
          </w:tcPr>
          <w:p>
            <w:r/>
          </w:p>
        </w:tc>
        <w:tc>
          <w:tcPr>
            <w:tcW w:type="dxa" w:w="2160"/>
          </w:tcPr>
          <w:p>
            <w:r/>
          </w:p>
        </w:tc>
      </w:tr>
      <w:tr>
        <w:tc>
          <w:tcPr>
            <w:tcW w:type="dxa" w:w="2160"/>
          </w:tcPr>
          <w:p>
            <w:r>
              <w:t>Article 85 of Regulation (EU) 2023/1542</w:t>
            </w:r>
          </w:p>
        </w:tc>
        <w:tc>
          <w:tcPr>
            <w:tcW w:type="dxa" w:w="2160"/>
          </w:tcPr>
          <w:p>
            <w:r>
              <w:t>Article 54</w:t>
            </w:r>
          </w:p>
        </w:tc>
        <w:tc>
          <w:tcPr>
            <w:tcW w:type="dxa" w:w="2160"/>
          </w:tcPr>
          <w:p>
            <w:r/>
          </w:p>
        </w:tc>
        <w:tc>
          <w:tcPr>
            <w:tcW w:type="dxa" w:w="2160"/>
          </w:tcPr>
          <w:p>
            <w:r/>
          </w:p>
        </w:tc>
      </w:tr>
      <w:tr>
        <w:tc>
          <w:tcPr>
            <w:tcW w:type="dxa" w:w="2160"/>
          </w:tcPr>
          <w:p>
            <w:r>
              <w:t>Article 83 of Regulation (EU) 2024/3110</w:t>
            </w:r>
          </w:p>
        </w:tc>
        <w:tc>
          <w:tcPr>
            <w:tcW w:type="dxa" w:w="2160"/>
          </w:tcPr>
          <w:p>
            <w:r>
              <w:t>Article 54</w:t>
            </w:r>
          </w:p>
        </w:tc>
        <w:tc>
          <w:tcPr>
            <w:tcW w:type="dxa" w:w="2160"/>
          </w:tcPr>
          <w:p>
            <w:r/>
          </w:p>
        </w:tc>
        <w:tc>
          <w:tcPr>
            <w:tcW w:type="dxa" w:w="2160"/>
          </w:tcPr>
          <w:p>
            <w:r/>
          </w:p>
        </w:tc>
      </w:tr>
      <w:tr>
        <w:tc>
          <w:tcPr>
            <w:tcW w:type="dxa" w:w="2160"/>
          </w:tcPr>
          <w:p>
            <w:r>
              <w:t>Article 63 of Regulation (EU) 2025/40</w:t>
            </w:r>
          </w:p>
        </w:tc>
        <w:tc>
          <w:tcPr>
            <w:tcW w:type="dxa" w:w="2160"/>
          </w:tcPr>
          <w:p>
            <w:r>
              <w:t>Article 54</w:t>
            </w:r>
          </w:p>
        </w:tc>
        <w:tc>
          <w:tcPr>
            <w:tcW w:type="dxa" w:w="2160"/>
          </w:tcPr>
          <w:p>
            <w:r/>
          </w:p>
        </w:tc>
        <w:tc>
          <w:tcPr>
            <w:tcW w:type="dxa" w:w="2160"/>
          </w:tcPr>
          <w:p>
            <w:r/>
          </w:p>
        </w:tc>
      </w:tr>
      <w:tr>
        <w:tc>
          <w:tcPr>
            <w:tcW w:type="dxa" w:w="2160"/>
          </w:tcPr>
          <w:p>
            <w:r>
              <w:t>Article 7 and Annex IV of Directive 2023/1791</w:t>
            </w:r>
          </w:p>
        </w:tc>
        <w:tc>
          <w:tcPr>
            <w:tcW w:type="dxa" w:w="2160"/>
          </w:tcPr>
          <w:p>
            <w:r>
              <w:t>Article 52</w:t>
            </w:r>
          </w:p>
        </w:tc>
        <w:tc>
          <w:tcPr>
            <w:tcW w:type="dxa" w:w="2160"/>
          </w:tcPr>
          <w:p>
            <w:r/>
          </w:p>
        </w:tc>
        <w:tc>
          <w:tcPr>
            <w:tcW w:type="dxa" w:w="2160"/>
          </w:tcPr>
          <w:p>
            <w:r/>
          </w:p>
        </w:tc>
      </w:tr>
      <w:tr>
        <w:tc>
          <w:tcPr>
            <w:tcW w:type="dxa" w:w="2160"/>
          </w:tcPr>
          <w:p>
            <w:r>
              <w:t>Article 26(1), point (d) of Regulation (EU) 2024/1252 as far as it concerns award criteria related to public procurement</w:t>
            </w:r>
          </w:p>
        </w:tc>
        <w:tc>
          <w:tcPr>
            <w:tcW w:type="dxa" w:w="2160"/>
          </w:tcPr>
          <w:p>
            <w:r>
              <w:t>Article 51</w:t>
            </w:r>
          </w:p>
        </w:tc>
        <w:tc>
          <w:tcPr>
            <w:tcW w:type="dxa" w:w="2160"/>
          </w:tcPr>
          <w:p>
            <w:r/>
          </w:p>
        </w:tc>
        <w:tc>
          <w:tcPr>
            <w:tcW w:type="dxa" w:w="2160"/>
          </w:tcPr>
          <w:p>
            <w:r/>
          </w:p>
        </w:tc>
      </w:tr>
      <w:tr>
        <w:tc>
          <w:tcPr>
            <w:tcW w:type="dxa" w:w="2160"/>
          </w:tcPr>
          <w:p>
            <w:r>
              <w:t>Article 24(1) of Directive 2019/882</w:t>
            </w:r>
          </w:p>
        </w:tc>
        <w:tc>
          <w:tcPr>
            <w:tcW w:type="dxa" w:w="2160"/>
          </w:tcPr>
          <w:p>
            <w:r>
              <w:t>Article 56</w:t>
            </w:r>
          </w:p>
        </w:tc>
        <w:tc>
          <w:tcPr>
            <w:tcW w:type="dxa" w:w="2160"/>
          </w:tcPr>
          <w:p>
            <w:r/>
          </w:p>
        </w:tc>
        <w:tc>
          <w:tcPr>
            <w:tcW w:type="dxa" w:w="2160"/>
          </w:tcPr>
          <w:p>
            <w:r/>
          </w:p>
        </w:tc>
      </w:tr>
      <w:tr>
        <w:tc>
          <w:tcPr>
            <w:tcW w:type="dxa" w:w="2160"/>
          </w:tcPr>
          <w:p>
            <w:r>
              <w:t>Article 8(3) of Directive 2022/2381</w:t>
            </w:r>
          </w:p>
        </w:tc>
        <w:tc>
          <w:tcPr>
            <w:tcW w:type="dxa" w:w="2160"/>
          </w:tcPr>
          <w:p>
            <w:r>
              <w:t>Article 4(4)</w:t>
            </w:r>
          </w:p>
        </w:tc>
        <w:tc>
          <w:tcPr>
            <w:tcW w:type="dxa" w:w="2160"/>
          </w:tcPr>
          <w:p>
            <w:r/>
          </w:p>
        </w:tc>
        <w:tc>
          <w:tcPr>
            <w:tcW w:type="dxa" w:w="2160"/>
          </w:tcPr>
          <w:p>
            <w:r/>
          </w:p>
        </w:tc>
      </w:tr>
      <w:tr>
        <w:tc>
          <w:tcPr>
            <w:tcW w:type="dxa" w:w="2160"/>
          </w:tcPr>
          <w:p>
            <w:r>
              <w:t>Article 5 of Regulation (EU) 2024/2847</w:t>
            </w:r>
          </w:p>
        </w:tc>
        <w:tc>
          <w:tcPr>
            <w:tcW w:type="dxa" w:w="2160"/>
          </w:tcPr>
          <w:p>
            <w:r>
              <w:t>Article 67</w:t>
            </w:r>
          </w:p>
        </w:tc>
        <w:tc>
          <w:tcPr>
            <w:tcW w:type="dxa" w:w="2160"/>
          </w:tcPr>
          <w:p>
            <w:r/>
          </w:p>
        </w:tc>
        <w:tc>
          <w:tcPr>
            <w:tcW w:type="dxa" w:w="2160"/>
          </w:tcPr>
          <w:p>
            <w:r/>
          </w:p>
        </w:tc>
      </w:tr>
      <w:tr>
        <w:tc>
          <w:tcPr>
            <w:tcW w:type="dxa" w:w="2160"/>
          </w:tcPr>
          <w:p>
            <w:r>
              <w:t>Article 31 of Directive (EU) 2024/1760</w:t>
            </w:r>
          </w:p>
        </w:tc>
        <w:tc>
          <w:tcPr>
            <w:tcW w:type="dxa" w:w="2160"/>
          </w:tcPr>
          <w:p>
            <w:r>
              <w:t>Article 55</w:t>
            </w:r>
          </w:p>
        </w:tc>
        <w:tc>
          <w:tcPr>
            <w:tcW w:type="dxa" w:w="2160"/>
          </w:tcPr>
          <w:p>
            <w:r/>
          </w:p>
        </w:tc>
        <w:tc>
          <w:tcPr>
            <w:tcW w:type="dxa" w:w="2160"/>
          </w:tcPr>
          <w:p>
            <w:r/>
          </w:p>
        </w:tc>
      </w:tr>
      <w:tr>
        <w:tc>
          <w:tcPr>
            <w:tcW w:type="dxa" w:w="2160"/>
          </w:tcPr>
          <w:p>
            <w:r>
              <w:t>Article 63(3), point (c) of Regulation (EU) 2024/1157</w:t>
            </w:r>
          </w:p>
        </w:tc>
        <w:tc>
          <w:tcPr>
            <w:tcW w:type="dxa" w:w="2160"/>
          </w:tcPr>
          <w:p>
            <w:r>
              <w:t>Article 26(1), point (a)</w:t>
            </w:r>
          </w:p>
        </w:tc>
        <w:tc>
          <w:tcPr>
            <w:tcW w:type="dxa" w:w="2160"/>
          </w:tcPr>
          <w:p>
            <w:r/>
          </w:p>
        </w:tc>
        <w:tc>
          <w:tcPr>
            <w:tcW w:type="dxa" w:w="2160"/>
          </w:tcPr>
          <w:p>
            <w:r/>
          </w:p>
        </w:tc>
      </w:tr>
    </w:tbl>
    <w:p>
      <w:r>
        <w:t>Časť B – Zmeny podľa článku 147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