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Wniosek dotyczący rozporządzenia w sprawie zamówień publicznych i koncesji, COM(2026) 590</w:t>
      </w:r>
    </w:p>
    <w:p>
      <w:r>
        <w:rPr>
          <w:i/>
        </w:rPr>
        <w:t>Nieoficjalne polskie tłumaczenie, tłumaczenie maszynowe (eTranslation) po korekcie. Wiążąca jest wersja angielska.</w:t>
      </w:r>
    </w:p>
    <w:p>
      <w:r>
        <w:t>Partner projektu: TENDERIX – První AI ve veřejných zakázkách, https://www.tenderix.cz</w:t>
      </w:r>
    </w:p>
    <w:p>
      <w:r>
        <w:t>Zpracoval: Dominik Žlebek, https://www.linkedin.com/in/dominikzlebek/</w:t>
      </w:r>
    </w:p>
    <w:p>
      <w:r>
        <w:t>Web: https://euprocurement.eu/</w:t>
      </w:r>
    </w:p>
    <w:p>
      <w:r>
        <w:t>Originál v angličtině: https://single-market-economy.ec.europa.eu/publications/proposal-regulation-public-contracts-and-concessions_en</w:t>
      </w:r>
    </w:p>
    <w:p>
      <w:r>
        <w:t>EUROPEJSKI</w:t>
      </w:r>
    </w:p>
    <w:p>
      <w:r>
        <w:t>KOMISJA</w:t>
      </w:r>
    </w:p>
    <w:p>
      <w:r>
        <w:t>Bruksela, dnia 9.9.2026 COM(2026) 590 wersja ostateczna</w:t>
      </w:r>
    </w:p>
    <w:p>
      <w:r>
        <w:t>2026/0265 (COD)</w:t>
      </w:r>
    </w:p>
    <w:p>
      <w:pPr>
        <w:pStyle w:val="Heading3"/>
        <w:jc w:val="center"/>
      </w:pPr>
      <w:r>
        <w:t>Wniosek</w:t>
      </w:r>
    </w:p>
    <w:p>
      <w:r>
        <w:t>ROZPORZĄDZENIE PARLAMENTU EUROPEJSKIEGO I RADY</w:t>
      </w:r>
    </w:p>
    <w:p>
      <w:r>
        <w:t>w sprawie zamówień publicznych i koncesji, uchylające dyrektywy 2014/23/UE, 2014/24/UE oraz</w:t>
      </w:r>
    </w:p>
    <w:p>
      <w:r>
        <w:t>2014/25/UE oraz zmieniające rozporządzenia (WE) nr 1370/2007, (UE) 2023/1542, (UE) 2024/1157, (UE) 2024/1252, (UE) 2024/1735, (UE) 2024/1781, (UE) 2024/2847, (UE)</w:t>
      </w:r>
    </w:p>
    <w:p>
      <w:r>
        <w:t>2024/3110 i (UE) 2025/40 oraz dyrektywy 2008/98/WE, (UE) 2019/882, (UE) 2022/2381,</w:t>
      </w:r>
    </w:p>
    <w:p>
      <w:pPr>
        <w:pStyle w:val="Heading3"/>
        <w:jc w:val="center"/>
      </w:pPr>
      <w:r>
        <w:t>(UE) 2023/1791 i (UE) 2024/1760 (ustawa o zamówieniach publicznych)</w:t>
      </w:r>
    </w:p>
    <w:p>
      <w:r>
        <w:t>{SEC(2026) 590 wersja ostateczna} – {SWD(2026) 590 wersja ostateczna} – {SWD(2026) 591 wersja ostateczna} –</w:t>
      </w:r>
    </w:p>
    <w:p>
      <w:r>
        <w:t>{SWD(2026) 592 wersja ostateczna}</w:t>
      </w:r>
    </w:p>
    <w:p>
      <w:r>
        <w:t>(Tekst mający znaczenie dla EOG)</w:t>
      </w:r>
    </w:p>
    <w:p>
      <w:pPr>
        <w:pStyle w:val="Heading3"/>
        <w:jc w:val="center"/>
      </w:pPr>
      <w:r>
        <w:t>UZASADNIENIE</w:t>
      </w:r>
    </w:p>
    <w:p>
      <w:r>
        <w:t>1. CONTEXTOFTHEPROPOSAL</w:t>
      </w:r>
    </w:p>
    <w:p>
      <w:r>
        <w:t>• Przyczyny i cele wniosku</w:t>
      </w:r>
    </w:p>
    <w:p>
      <w:r>
        <w:t>Niniejsze uzasadnienie towarzyszy wnioskowi dotyczącemu rozporządzenia w sprawie zamówień publicznych, zmieniającego dyrektywę 2014/23/UE w sprawie udzielania koncesji, dyrektywę 2014/24/UE w sprawie zamówień publicznych i dyrektywę 2014/25/UE w sprawie udzielania zamówień przez podmioty działające w sektorach gospodarki wodnej, energetyki, transportu i usług pocztowych oraz zmieniającego różne akty sektorowe w odniesieniu do zawartych w nich przepisów dotyczących zamówień publicznych.</w:t>
      </w:r>
    </w:p>
    <w:p>
      <w:r>
        <w:t>Każdego dnia w całej Unii Europejskiej organy publiczne udzielają zamówień na towary, usługi i roboty budowlane, które kształtują codzienne życie obywateli, niezależnie od tego, czy to drogi, po których się poruszają, energia zasila ich domy, czy budynki szkolne, które kształtują przyszłość ich dzieci. Biorąc pod uwagę, że zamówienia publiczne stanowią około 15 % PKB UE, zamówienia publiczne są potężnym narzędziem polityki, którym dysponuje Unia. Dla nabywców publicznych jest to środek zapewniający efektywne inwestycje w infrastrukturę publiczną i usługi publiczne. Dla obywateli maksymalizuje korzyści z pieniędzy podatników, zapewniając efektywne i skuteczne wydatkowanie środków publicznych. Dobrze zaprojektowane ramy zamówień publicznych otwierają nowe możliwości dla przedsiębiorstw, w tym w wymiarze transgranicznym. Dla wszystkich zamówienia publiczne powinny być przejrzyste, sprawiedliwe i otwarte, aby budować i wzmacniać zaufanie publiczne.</w:t>
      </w:r>
    </w:p>
    <w:p>
      <w:r>
        <w:t>Mario Draghi i Enrico Letta zdecydowanie podkreślili centralną rolę zamówień publicznych w swoich sprawozdaniach na temat przyszłości europejskiej konkurencyjności[1] i jednolitego rynku[2]. W obu tych dokumentach podkreśla się, że zamówienia publiczne są nie tylko mechanizmem wydatków publicznych, ale również strategicznym narzędziem inwestycyjnym mającym na celu wzmocnienie czystej bazy przemysłowej Unii, wspieranie innowacji, przyspieszenie czystej i cyfrowej transformacji oraz wzmocnienie bezpieczeństwa gospodarczego i strategicznej autonomii. W Pakcie dla czystego przemysłu[3] i Kompasie konkurencyjności[4] podobnie podkreślono odpowiedzialność nabywców publicznych za przekładanie strategicznych wytycznych na konkretne decyzje o zakupie. W kontekście geopolitycznym charakteryzującym się nasilającą się konkurencją, podatnością na zagrożenia w łańcuchu dostaw i wykorzystywaniem zależności gospodarczych sposób, w jaki nabywcy publiczni wydają pieniądze, stał się kwestią o strategicznym znaczeniu.</w:t>
      </w:r>
    </w:p>
    <w:p>
      <w:r>
        <w:t>Europejski Trybunał Obrachunkowy[5] zwrócił uwagę na szereg niedociągnięć w europejskiej praktyce udzielania zamówień publicznych. Stwierdzono, że konkurencja w zakresie zamówień publicznych zmniejszyła się w ciągu ostatniej dekady, udział MŚP i oferentów transgranicznych pozostał ograniczony, a procedury z jedną ofertą stały się coraz bardziej powszechne. W tym kontekście Rada w swoich konkluzjach z maja 2024 r.[6] zwróciła się do Komisji o przedstawienie kompleksowego planu działania w celu wyeliminowania niedociągnięć w przepisach i praktykach dotyczących zamówień publicznych oraz uproszczenia ram regulacyjnych. Parlament Europejski przyjął rezolucję w sprawie zamówień publicznych[7], w której wezwał do stworzenia bardziej strategicznych, uproszczonych i konkurencyjnych ram. Komitet Regionów[8] i Europejski Komitet Ekonomiczno-Społeczny[9] przyjęły opinie, w których podkreśliły znaczenie zamówień publicznych jako siły napędowej rozwoju lokalnego, postępu społecznego i odporności przemysłu.</w:t>
      </w:r>
    </w:p>
    <w:p>
      <w:r>
        <w:t>Przeprowadzona przez Komisję Europejską dogłębna ocena dyrektyw z 2014 r. potwierdziła, że obecne przepisy dotyczące zamówień publicznych wykazują istotne niedociągnięcia. Stwierdzono, że ich złożoność i brak elastyczności powodują znaczną niepewność prawa zarówno dla nabywców publicznych, jak i wykonawców. Nadal przeważają zamówienia oparte wyłącznie na cenie, a stopień spełnienia wymogów społecznych, środowiskowych i innowacyjnych jest nadal ograniczony. Przepisy dotyczące dostępu do rynku dla przedsiębiorstw spoza UE są niejasne i nie odpowiadają już skutecznie dzisiejszym realiom geopolitycznym. Rozdrobnione systemy e-zamówień uniemożliwiają właściwą przejrzystość oraz skuteczne monitorowanie i nadzór, a pomimo poprawy przejrzystości, luk w danych i problemów z jakością zarówno na szczeblu unijnym, jak i krajowym utrudniają skuteczne zarządzanie, podejmowanie strategicznych decyzji i zapobieganie korupcji.</w:t>
      </w:r>
    </w:p>
    <w:p>
      <w:r>
        <w:t>Wniosek dotyczący ustawy o zamówieniach publicznych ma na celu sprostanie tym wyzwaniom.</w:t>
      </w:r>
    </w:p>
    <w:p>
      <w:r>
        <w:t>Uproszczenie i zwiększenie elastyczności i spójności przepisów dotyczących zamówień publicznych</w:t>
      </w:r>
    </w:p>
    <w:p>
      <w:r>
        <w:t>Wniosek zastępuje trzy dyrektywy z 2014 r. jednym, bezpośrednio stosowanym rozporządzeniem. Konsolidacja przepisów mających zastosowanie do zamówień publicznych, zamówień publicznych na usługi użyteczności publicznej i koncesji w jeden instrument prawny eliminuje złożoność i niespójność wynikające ze współistnienia odrębnych aktów ustawodawczych i rozbieżnych krajowych wyborów dotyczących transpozycji.</w:t>
      </w:r>
    </w:p>
    <w:p>
      <w:r>
        <w:t>• Proponuje się dwie nowe główne procedury, obie możliwe z wyborem lub bez.</w:t>
      </w:r>
    </w:p>
    <w:p>
      <w:r>
        <w:t>kryteria, z negocjacjami lub bez: procedura otwarta, w ramach której wykonawcy składają (pierwsze) oferty od samego początku, oraz procedura dynamiczna, w ramach której wykonawcy najpierw przystępują do postępowania, a następnie są zapraszani do składania ofert lub negocjowania indywidualnych możliwości udzielenia zamówienia pojawiających się w okresie ważności postępowania. Uzupełnieniem tych dwóch procedur jest procedura innowacyjna dotycząca opracowywania i nabywania innowacyjnych rozwiązań, które nabywcy publiczni chcą opracować przez wykonawcę, aby jak najlepiej zaspokoić jego potrzeby.</w:t>
      </w:r>
    </w:p>
    <w:p>
      <w:r>
        <w:t>• Konsultacje rynkowe są wyjaśniane i promowane jako standardowe narzędzie przygotowawcze.</w:t>
      </w:r>
    </w:p>
    <w:p>
      <w:r>
        <w:t>• Kryteria wyboru są ograniczone do tego, co jest konieczne i proporcjonalne, nadmierne</w:t>
      </w:r>
    </w:p>
    <w:p>
      <w:r>
        <w:t>wymogi dotyczące obrotów są ograniczone, a nieuzasadnione wymagania dotyczące wcześniejszego doświadczenia w sektorze publicznym – ograniczone.</w:t>
      </w:r>
    </w:p>
    <w:p>
      <w:r>
        <w:t>Przepisy dotyczące zamówień publicznych nadal mają zastosowanie do podmiotów w sektorach gospodarki wodnej, energetyki, transportu i usług pocztowych. Oprócz szczególnych zwolnień usługi użyteczności publicznej mogą również zostać zwolnione, jeżeli dana działalność bezpośrednio podlega konkurencji na rynkach z nieograniczonym dostępem.</w:t>
      </w:r>
    </w:p>
    <w:p>
      <w:r>
        <w:t>Aby jeszcze bardziej uprościć ogólne ramy prawne, do niniejszego rozporządzenia włączono przepisy dotyczące koncesji. Zmienione przepisy proceduralne będą miały zastosowanie zarówno do zamówień publicznych, jak i koncesji, a w razie potrzeby zostaną uzupełnione dostosowanymi przepisami dotyczącymi koncesji, aby uwzględnić pewne szczególne cechy koncesji.</w:t>
      </w:r>
    </w:p>
    <w:p>
      <w:r>
        <w:t>Zwiększenie wykorzystania zamówień strategicznych</w:t>
      </w:r>
    </w:p>
    <w:p>
      <w:r>
        <w:t>Niniejsze rozporządzenie ustanawia spójną architekturę włączania strategicznych celów polityki do projektowania zamówień publicznych, udzielania zamówień i realizacji zamówień. Wniosek wzmacnia wymiar jakościowy decyzji o przyznaniu finansowania. Zamówienia będą z reguły udzielane na podstawie najlepszej relacji jakości do ceny, z minimalnymi wymogami dotyczącymi ważenia jakości, w tym z wyższą wagą dla zamówień pracochłonnych.</w:t>
      </w:r>
    </w:p>
    <w:p>
      <w:r>
        <w:t>• Jeżeli chodzi o zamówienia publiczne na ochronę środowiska, wniosek zapewnia jaśniejsze podstawy prawne stosowania</w:t>
      </w:r>
    </w:p>
    <w:p>
      <w:r>
        <w:t>wymogów środowiskowych w całym cyklu udzielania zamówień. Wzmacnia on wkład zamówień publicznych w obieg zamknięty, zawartość materiałów pochodzących z recyklingu i odnowionych, odzysk odpadów i efektywność energetyczną oraz tworzy ramy obowiązkowych wymogów dotyczących zielonych zamówień publicznych w odniesieniu do niektórych kategorii produktów, w przypadku których rozbieżne stosowanie wymogów grozi fragmentacją rynku.</w:t>
      </w:r>
    </w:p>
    <w:p>
      <w:r>
        <w:t>• Jeśli chodzi o społecznie odpowiedzialne zamówienia publiczne, we wniosku podkreślono szereg istotnych</w:t>
      </w:r>
    </w:p>
    <w:p>
      <w:r>
        <w:t>cele społeczne, w tym włączenie społeczne, integracja na rynku pracy, dostępność dla osób z niepełnosprawnościami, poprawa warunków pracy, podnoszenie i zmiana kwalifikacji siły roboczej, równouprawnienie płci i prawa człowieka w łańcuchach dostaw. Podkreślono w nim obowiązki w zakresie dostępności dla osób z niepełnosprawnościami i utrzymano ukierunkowane instrumenty, takie jak zamówienia zastrzeżone i dostosowane przepisy dotyczące usług społecznych, zdrowotnych i edukacyjnych.</w:t>
      </w:r>
    </w:p>
    <w:p>
      <w:r>
        <w:t>• Jeżeli chodzi o zamówienia publiczne na innowacje, nowa procedura innowacyjna umożliwia nabywcom publicznym:</w:t>
      </w:r>
    </w:p>
    <w:p>
      <w:r>
        <w:t>formułowanie wyzwań społecznych zamiast ustalonych specyfikacji technicznych, ocena wniosków za pomocą ram oceny wartości, testowanie i walidacja podejść, a następnie zamawianie powstałych rozwiązań.</w:t>
      </w:r>
    </w:p>
    <w:p>
      <w:r>
        <w:t>Poprawa bezpieczeństwa gospodarczego i autonomii strategicznej UE</w:t>
      </w:r>
    </w:p>
    <w:p>
      <w:r>
        <w:t>Wniosek stanowi odpowiedź na rosnące znaczenie geopolityczne zamówień publicznych.</w:t>
      </w:r>
    </w:p>
    <w:p>
      <w:r>
        <w:t>• Nabywcy publiczni mają możliwość, a w pewnych okolicznościach są do tego zobowiązani, przeciwdziałania ryzyku związanemu z</w:t>
      </w:r>
    </w:p>
    <w:p>
      <w:r>
        <w:t>interesy Unii lub państw członkowskich w zakresie bezpieczeństwa i bezpieczeństwa publicznego związane z infrastrukturą krytyczną, informacjami szczególnie chronionymi, cyberbezpieczeństwem, szkodliwymi krytycznymi zależnościami, zakłóceniami dostaw i nadmiernym wpływem państw trzecich.</w:t>
      </w:r>
    </w:p>
    <w:p>
      <w:r>
        <w:t>• Bez uszczerbku dla aktów prawnych dotyczących konkretnych produktów lub usług, nowe przepisy dotyczące:</w:t>
      </w:r>
    </w:p>
    <w:p>
      <w:r>
        <w:t>odporność i bezpieczeństwo dostaw mają zastosowanie w szczególności do zamówień obejmujących podmioty niezbędne lub istotne oraz infrastrukturę krytyczną.</w:t>
      </w:r>
    </w:p>
    <w:p>
      <w:r>
        <w:t>• Wniosek unowocześnia również i wyjaśnia sposób traktowania udziału państw trzecich,</w:t>
      </w:r>
    </w:p>
    <w:p>
      <w:r>
        <w:t>przy pełnym poszanowaniu międzynarodowych zobowiązań Unii:</w:t>
      </w:r>
    </w:p>
    <w:p>
      <w:r>
        <w:t>• Wyjaśniono w nim rozróżnienie między wykonawcami a robotami budowlanymi, usługami lub dostawami, które są</w:t>
      </w:r>
    </w:p>
    <w:p>
      <w:r>
        <w:t>objęte międzynarodowymi zobowiązaniami Unii w zakresie zamówień publicznych i tymi, które nie są nimi objęte, oraz ustanawia wspólne ramy, wspierane przez narzędzie internetowe Komisji (portal internetowy Access2Markets opracowany przez Komisję Europejską w celu wspierania przedsiębiorstw prowadzących handel międzynarodowy), w celu określenia zakresu. Komisja może ograniczyć taki zasięg, jeżeli analiza dostępu do rynku wykaże, że państwo trzecie nie zapewniło traktowania narodowego unijnym wykonawcom wbrew swoim zobowiązaniom, lub jeżeli ograniczenie jest konieczne do ochrony podstawowych interesów Unii.</w:t>
      </w:r>
    </w:p>
    <w:p>
      <w:r>
        <w:t>• Nabywcy publiczni mogą stosować wymogi dotyczące preferencji europejskiej, w tym poprzez:</w:t>
      </w:r>
    </w:p>
    <w:p>
      <w:r>
        <w:t>ograniczenie uczestnictwa, wymaganie minimalnego unijnego lub objętego pochodzenia lub przyznanie preferencji w zakresie oceny. Jeżeli wymagają tego strategiczne interesy Unii, Komisja może zamknąć szczególne procedury dla nieobjętych nimi wykonawców, produktów lub usług.</w:t>
      </w:r>
    </w:p>
    <w:p>
      <w:r>
        <w:t>Niniejsze rozporządzenie stanowi horyzontalne ramy dla wymogów dotyczących preferencji europejskiej i zostało opracowane w taki sposób, aby nie kolidowało z przepisami Unii, które są specyficzne dla danego sektora i które ustanawiają mechanizmy preferencji lub ograniczeń w zależności od pochodzenia wykonawców lub konkretnych towarów lub usług oferowanych w kontekście zamówień publicznych. Dotyczy to już przyjętych przepisów, takich jak rozporządzenie (UE) 2024/2803 w sprawie wdrożenia jednolitej europejskiej przestrzeni powietrznej, lub nowszych wniosków, takich jak akt w sprawie przyspieszenia rozwoju przemysłu (COM 2026/0068), które są obecnie w trakcie procesu legislacyjnego. W związku z tym zastosowanie mają przepisy ogólne niniejszego rozporządzenia, chyba że akt sektorowy stanowi inaczej, w tym w odniesieniu do określania pochodzenia.</w:t>
      </w:r>
    </w:p>
    <w:p>
      <w:r>
        <w:t>Ponadto, aby uniknąć nadmiernej fragmentacji ram prawnych i zapewnić spójny zbiór przepisów dotyczących zamówień publicznych, niniejsze rozporządzenie służy również jako wzór i podstawa przyszłych aktów ustawodawczych Unii ustanawiających mechanizmy preferencji oparte na pochodzeniu. Dotyczy to zgodności z umowami międzynarodowymi, które obejmują wymiar zamówień publicznych, sposobu określania pochodzenia wykonawców, towarów, usług i robót budowlanych. Wszelkie przyszłe zasady preferencji europejskiej odnoszące się do zamówień publicznych powinny opierać się na zasadach dotyczących rzeczywistych wymogów w zakresie preferencji określonych w niniejszym rozporządzeniu i być dostosowywane wyłącznie w razie potrzeby ze względu na konkretne sektory, które będą nimi objęte.</w:t>
      </w:r>
    </w:p>
    <w:p>
      <w:r>
        <w:t>Ułatwianie dostępu do informacji, danych i narzędzi cyfrowych dotyczących zamówień publicznych</w:t>
      </w:r>
    </w:p>
    <w:p>
      <w:r>
        <w:t>Ocena obowiązujących dyrektyw wykazała, że ekosystem cyfrowy zamówień publicznych pozostaje rozdrobniony, nieinteroperacyjny i w niewystarczającym stopniu oparty na danych. Wniosek rozwiązuje ten problem dzięki znacznie bardziej zintegrowanemu podejściu.</w:t>
      </w:r>
    </w:p>
    <w:p>
      <w:r>
        <w:t>• Ustanawia wspólny ekosystem cyfrowy oparty na sieci interoperacyjności,</w:t>
      </w:r>
    </w:p>
    <w:p>
      <w:r>
        <w:t>zharmonizowane normy semantyczne i wspólne specyfikacje umożliwiające nabywcom publicznym i wykonawcom korzystającym z różnych systemów e-zamówień komunikację za pośrednictwem interoperacyjnych usług cyfrowych. Kluczową innowacją jest utworzenie elektronicznej usługi kwalifikowalności opartej na cyfrowych poświadczeniach biznesowych i cyfrowych profilach przedsiębiorstw, wdrażającej zasadę jednorazowości.</w:t>
      </w:r>
    </w:p>
    <w:p>
      <w:r>
        <w:t>• Wniosek ustanawia krajowe przestrzenie danych dotyczących zamówień publicznych oraz</w:t>
      </w:r>
    </w:p>
    <w:p>
      <w:r>
        <w:t>przestrzeń danych dotyczących zamówień publicznych, zaprojektowana w celu wspierania uporządkowanego dostępu do danych dotyczących zamówień publicznych i cyklu życia umów. Obowiązki w zakresie publikacji zostały rozszerzone i zracjonalizowane w całym cyklu życia zamówień publicznych.</w:t>
      </w:r>
    </w:p>
    <w:p>
      <w:r>
        <w:t>Skuteczne funkcjonowanie systemu będzie wymagało aktualizacji Wspólnego Słownika Zamówień (CPV) ustanowionego na mocy rozporządzenia (WE) nr 213/2008.</w:t>
      </w:r>
    </w:p>
    <w:p>
      <w:r>
        <w:t>Zarządzanie</w:t>
      </w:r>
    </w:p>
    <w:p>
      <w:r>
        <w:t>Wniosek wzmacnia zarządzanie, monitorowanie i profesjonalizację. Zarządzanie uczciwością wzmocniono za pomocą środków mających na celu zwalczanie nadużyć finansowych, zmowy, korupcji, faworyzowania i konfliktów interesów, zapewniając, aby uproszczeniu i strategicznym ambicjom niniejszego rozporządzenia towarzyszyły większe zdolności w zakresie wdrażania w terenie.</w:t>
      </w:r>
    </w:p>
    <w:p>
      <w:r>
        <w:t>• Spójność z przepisami obowiązującymi w tej dziedzinie polityki</w:t>
      </w:r>
    </w:p>
    <w:p>
      <w:r>
        <w:t>W ocenie Komisji podkreślono obawy dotyczące rozdrobnienia przepisów dotyczących zamówień publicznych w ramach prawnych UE. Instytucje zamawiające i wykonawcy muszą obecnie przestrzegać wielu nakładających się, a w niektórych przypadkach niespójnych przepisów w ponad pięćdziesięciu sektorowych instrumentach prawnych. W obu przypadkach jest to źródłem niepewności prawa, nieproporcjonalnych obciążeń administracyjnych i nieefektywności proceduralnej w przeprowadzaniu zamówień publicznych.</w:t>
      </w:r>
    </w:p>
    <w:p>
      <w:r>
        <w:t>W komunikacie Komisji „Prostszy, klarowniejszy i lepiej egzekwowany zbiór przepisów UE”[10] nakazano „szczegółowe czyszczenie przepisów dotyczących zamówień publicznych” w celu wyeliminowania zwolnień, usprawnienia procedur i zwiększenia jasności prawa. W proponowanym rozporządzeniu w sprawie zamówień publicznych podejmuje się zatem kompleksowe działanie na rzecz spójności, koncentrując się na skonsolidowaniu w ustawie o zamówieniach publicznych przepisów sektorowych dotyczących przepisów proceduralnych w zakresie zamówień publicznych, wymogów horyzontalnych i przepisów dotyczących uprawnień, przy pełnym zachowaniu celów polityki określonych w aktach sektorowych.</w:t>
      </w:r>
    </w:p>
    <w:p>
      <w:r>
        <w:t>Podstawy wykluczenia</w:t>
      </w:r>
    </w:p>
    <w:p>
      <w:r>
        <w:t>Obecnie podstawy wykluczenia wykonawców z udziału w postępowaniu o udzielenie zamówienia są rozproszone w kilku aktach sektorowych, co powoduje niepewność prawa i nierówne traktowanie. Wniosek konsoliduje te przepisy w jednolite, spójne ramy poprzez racjonalizację istniejących podstaw wykluczenia z udziału w postępowaniu o udzielenie zamówienia w następujący sposób:</w:t>
      </w:r>
    </w:p>
    <w:p>
      <w:r>
        <w:t>• 7 obowiązkowych podstaw wykluczenia z aktów sektorowych opartych na tytule V TFUE, które:</w:t>
      </w:r>
    </w:p>
    <w:p>
      <w:r>
        <w:t>są powiązane z poważnymi przestępstwami, w tym handlem ludźmi, korupcją i terroryzmem, oraz są nieodłącznymi i nierozerwalnymi elementami czynów, w których zostały określone, są utrzymane w tych czynach, ale znajdują również odzwierciedlenie w niniejszym rozporządzeniu.</w:t>
      </w:r>
    </w:p>
    <w:p>
      <w:r>
        <w:t>• Dwie podstawy wykluczenia wynikające z aktów prawnych opartych na innych podstawach prawnych to:</w:t>
      </w:r>
    </w:p>
    <w:p>
      <w:r>
        <w:t>usunięte z tych aktów i odzwierciedlone w niniejszym rozporządzeniu. Dotyczy to podstaw wykluczenia zapisanych dotychczas w rozporządzeniu w sprawie przemieszczania odpadów (rozporządzenie (UE) 2024/1157) i rozporządzeniu w sprawie ekoprojektu (rozporządzenie (UE) 2024/1781), które skreśla się z tych aktów. Naruszenia tych instrumentów nie znikają jednak całkowicie, lecz są wchłaniane do istniejących podstaw wykluczenia określonych w niniejszym rozporządzeniu.</w:t>
      </w:r>
    </w:p>
    <w:p>
      <w:r>
        <w:t>Wymogi horyzontalne</w:t>
      </w:r>
    </w:p>
    <w:p>
      <w:r>
        <w:t>Oprócz przepisów proceduralnych obecne ramy zamówień publicznych dodatkowo komplikuje mnożenie wymogów horyzontalnych w przepisach dotyczących decyzji o udzieleniu zamówienia. Aby rozwiązać ten problem, w niniejszym wniosku przeniesiono odpowiednie horyzontalne przepisy dotyczące przedmiotu zakupu do specjalnych rozdziałów aktu, uporządkowanych wokół strategicznych priorytetów Unii w zakresie zamówień publicznych (zielonych, społecznych, dotyczących bezpieczeństwa i odporności), usprawniając w razie potrzeby, aby zapewnić spójność stosowania tych wymogów.</w:t>
      </w:r>
    </w:p>
    <w:p>
      <w:r>
        <w:t>Uprawnienia</w:t>
      </w:r>
    </w:p>
    <w:p>
      <w:r>
        <w:t>Ponadto pięć instrumentów sektorowych zawiera odrębne i nieskoordynowane uprawnienia do ustanawiania wymogów dotyczących zielonych zamówień publicznych w niektórych obszarach. Aby zaradzić tym brakom efektywności, w niniejszym wniosku uchyla się te uprawnienia sektorowe do przyjmowania aktów delegowanych lub wykonawczych dotyczących zamówień publicznych i zastępuje je jednym horyzontalnym uprawnieniem umożliwiającym Komisji wprowadzenie w określonych okolicznościach obowiązku stosowania niektórych wymogów środowiskowych przez nabywców publicznych.</w:t>
      </w:r>
    </w:p>
    <w:p>
      <w:r>
        <w:t>Niniejszy wniosek obejmuje ukierunkowane zmiany odnośnych instrumentów sektorowych, które są absolutnie niezbędne do osiągnięcia celu wniosku, jakim jest spójność prawna. Dalsze ewentualne zmiany tych instrumentów sektorowych nie wchodzą w zakres niniejszego wniosku. Potrzeba wprowadzenia takich zmian może zostać oceniona, w stosownych przypadkach, w kontekście przeglądu każdego z odnośnych instrumentów sektorowych, zgodnie z ich odpowiednimi klauzulami przeglądowymi i cyklami polityki. Komisja będzie konstruktywnie współpracować ze współprawodawcami w celu zapewnienia, aby w procesie legislacyjnym dotyczącym niniejszego wniosku w pełni zachowano jego zasadniczy cel.</w:t>
      </w:r>
    </w:p>
    <w:p>
      <w:r>
        <w:t>Oprócz istniejącego dorobku prawnego szereg inicjatyw ustawodawczych, które są obecnie negocjowane lub oczekują na publikację, zawiera również przepisy dotyczące zamówień publicznych lub oczekuje się, że będą zawierać takie przepisy. Dotyczy to na przykład wniosku dotyczącego aktu o cyberbezpieczeństwie 2.0 (COM 2026/001), wniosku dotyczącego aktu w sprawie rozwoju chmury i sztucznej inteligencji (COM 2026/0138), wniosku dotyczącego aktu w sprawie przyspieszenia rozwoju przemysłu (2026/0068) oraz wniosku dotyczącego aktu w sprawie czipów 2.0 (COM 2026/0139). Spójność przeprowadzona w ramach niniejszego wniosku może przynieść pełną wartość dodaną tylko wtedy, gdy te bieżące inicjatywy będą same w sobie dostosowane do horyzontalnych ram ustanowionych w rozporządzeniu w sprawie zamówień publicznych, przy jednoczesnym utrzymaniu przepisów sektorowych dotyczących tego, co należy zakupić w tych aktach. Komisja pracowała nad zapewnieniem takiej spójności wewnętrznie podczas przygotowywania tych tekstów i istotne jest, aby współprawodawcy wzięli również pod uwagę potrzebę spójności i zgodności z rozporządzeniem w sprawie zamówień publicznych. Szczególną uwagę należy zwrócić na przepisy dotyczące wymogów preferencji europejskiej, ponieważ rozbieżne podejścia sektorowe byłyby szczególnie szkodliwe dla pewności prawa, równego traktowania wykonawców i prawidłowego funkcjonowania rynku wewnętrznego. Komisja będzie konstruktywnie współpracować z Parlamentem Europejskim i Radą przez cały czas trwania negocjacji w sprawie tych równoległych dossier.</w:t>
      </w:r>
    </w:p>
    <w:p>
      <w:r>
        <w:t>• Spójność z innymi politykami Unii</w:t>
      </w:r>
    </w:p>
    <w:p>
      <w:r>
        <w:t>Proponowane rozporządzenie wchodzi również w interakcję z odrębną kategorią polityk Unii, w których zamówienia publiczne wykorzystuje się jako narzędzie do realizacji konkretnych celów, nie opierając się jednak na horyzontalnych ramach zamówień publicznych ani ich nie zmieniając. Ustanawiają one autonomiczne systemy, które funkcjonują równolegle z zasadami ogólnymi i odpowiadają na ich własne przesłanki polityczne.</w:t>
      </w:r>
    </w:p>
    <w:p>
      <w:r>
        <w:t>Wniosek nie koliduje z systemami zamówień ustanowionymi w sektorze obronności i bezpieczeństwa, które nie wchodzą w zakres jego stosowania ani dyrektywy 2009/81/WE. Pozostaje ono bez uszczerbku dla rozporządzenia (UE) 2025/1106 (SAFE) i rozporządzenia (UE) 2023/2418 (EDIRPA) w sprawie wspólnych zamówień w dziedzinie obronności i pozostaje bez wpływu na mechanizmy wspólnych zamówień na podstawie rozporządzenia (UE) 2022/2371 i rozporządzenia Rady (UE) 2022/2372 w sprawie kryzysów zdrowotnych. Jest on również zgodny z obowiązkami ukierunkowanymi na odporność określonymi w rozporządzeniu (UE) 2024/2747 (IMERA).</w:t>
      </w:r>
    </w:p>
    <w:p>
      <w:r>
        <w:t>Zamówienia publiczne są coraz częściej wykorzystywane jako dźwignia do obrony strategicznych interesów Unii w jej zewnętrznych stosunkach gospodarczych oraz do zapewnienia równych warunków działania europejskim wykonawcom. Środki preferencji europejskiej są w pełni zgodne z ramami międzynarodowymi, których Unia jest stroną, w szczególności z Porozumieniem WTO w sprawie zamówień rządowych (GPA). Wniosek pozostaje bez uszczerbku dla instrumentów polityki handlowej Unii zawierających przepisy dotyczące zamówień publicznych, w szczególności rozporządzenia (UE) 2022/2560 w sprawie subsydiów zagranicznych, a także środków w ramach unijnego zestawu narzędzi ochrony handlu i środków ograniczających, takich jak rozporządzenie (UE) 2023/2675 (instrument chroniący przed wymuszaniem) i rozporządzenie Rady (UE) nr 833/2014 dotyczące Rosji. Jeżeli chodzi o rozporządzenie (UE) 2022/1031 w sprawie Instrumentu Zamówień Międzynarodowych, w rozdziale 5 proponowanego rozporządzenia wyraźnie uwzględniono, w tym poprzez odniesienia, zasady i pojęcia niniejszego rozporządzenia dotyczące pochodzenia wykonawców i towarów.</w:t>
      </w:r>
    </w:p>
    <w:p>
      <w:r>
        <w:t>Równolegle z niniejszym rozporządzeniem Komisja proponuje europejski akt o innowacjach, w którym proponuje się specjalny system zamówień na usługi badawczo-rozwojowe, tj. zamówienia na badania podstawowe, badania przemysłowe i eksperymentalne prace rozwojowe aż do etapu pierwotnego rozwoju. Zamówienia na usługi badawcze i rozwojowe, w tym zamówienia przedkomercyjne, są zatem wyłączone z zakresu niniejszego rozporządzenia. W przeciwieństwie do szczególnego systemu zaproponowanego w europejskim akcie o innowacjach ustawa o zamówieniach publicznych obejmuje również zakup komercyjnego produktu końcowego.</w:t>
      </w:r>
    </w:p>
    <w:p>
      <w:r>
        <w:t>2. PODSTAWA PRAWNA, POMOCNICZOŚĆ I PROPORCJONALNOŚĆ</w:t>
      </w:r>
    </w:p>
    <w:p>
      <w:r>
        <w:t>• Podstawa prawna</w:t>
      </w:r>
    </w:p>
    <w:p>
      <w:r>
        <w:t>Właściwą podstawą prawną niniejszej inicjatywy jest art. 114 Traktatu o funkcjonowaniu Unii Europejskiej („Traktat”), ponieważ jej głównym celem jest ustanowienie prostszych i skuteczniejszych zharmonizowanych ram zamówień publicznych we wszystkich państwach członkowskich, a tym samym poprawa funkcjonowania rynku wewnętrznego zgodnie z art. 26 Traktatu. Chociaż inicjatywa dotyczy również kwestii związanych z celami realizowanymi na podstawie art. 173 i 207 TFUE, aspekty te mają wyraźnie charakter pomocniczy w stosunku do jej głównego celu, jakim jest harmonizacja przepisów dotyczących zamówień publicznych, a zatem nie uzasadniają oparcia się na tych przepisach jako podstawach prawnych.</w:t>
      </w:r>
    </w:p>
    <w:p>
      <w:r>
        <w:t>• Pomocniczość (w przypadku kompetencji niewyłącznych)</w:t>
      </w:r>
    </w:p>
    <w:p>
      <w:r>
        <w:t>Zgodnie z art. 5 TUE zasada pomocniczości jest przestrzegana, ponieważ zapewnia równowagę między swobodą uznania instytucji zamawiających a środkami harmonizującymi i elementami niezbędnymi do osiągnięcia celów niniejszej inicjatywy, które nie mogą zostać osiągnięte w sposób wystarczający przez same państwa członkowskie.</w:t>
      </w:r>
    </w:p>
    <w:p>
      <w:r>
        <w:t>Zamówienia publiczne są kluczowym elementem jednolitego rynku UE, umożliwiającym transgraniczną konkurencję i szerszy dostęp do rynków dla instytucji zamawiających. Rozdrobnienie we wdrażaniu osłabia jednak jego skuteczność jako instrumentu rynku wewnętrznego. Wymaga to dalszych działań na szczeblu UE w celu zapewnienia spójności i uproszczenia oraz pełnego uwolnienia potencjału ogólnounijnego rynku zamówień zarówno dla przedsiębiorstw, jak i instytucji zamawiających.</w:t>
      </w:r>
    </w:p>
    <w:p>
      <w:r>
        <w:t>Zgodnie z niedawnymi orzeczeniami TSUE[11] traktowanie wykonawców z państw trzecich w zamówieniach publicznych wchodzi w zakres wspólnej polityki handlowej, która jest wyłączną kompetencją Unii, i w związku z tym może być regulowane wyłącznie na szczeblu UE. Jedynie Unia, a nie państwa członkowskie działające indywidualnie, jest uprawniona do ustanowienia spójnych i jednolitych ram regulujących udział oferentów z państw trzecich. Działanie na szczeblu UE jest zatem zarówno uzasadnione, jak i konieczne do zapewnienia pewności prawa i równych warunków działania na całym rynku wewnętrznym.</w:t>
      </w:r>
    </w:p>
    <w:p>
      <w:r>
        <w:t>• Proporcjonalność</w:t>
      </w:r>
    </w:p>
    <w:p>
      <w:r>
        <w:t>Proponowana zmiana jest zgodna z zasadą proporcjonalności określoną w art. 5 TUE i jest zgodna z tym, co jest dostosowane i konieczne do osiągnięcia celów polegających na zapewnieniu bardziej skutecznych, przejrzystych i spójnych unijnych ram zamówień publicznych, realizujących cele strategiczne Unii.</w:t>
      </w:r>
    </w:p>
    <w:p>
      <w:r>
        <w:t>Ustanowienie unijnego ekosystemu cyfrowego jest niezbędne do zmniejszenia fragmentacji, obciążeń administracyjnych i kosztów poprzez wprowadzenie obowiązku wzajemnego połączenia systemów e-zamówień państw członkowskich w jeden zintegrowany unijny rynek zamówień publicznych, a tym samym zmniejszenie kosztów przestrzegania przepisów oraz ułatwienie transgranicznego uczestnictwa i zwiększenie ogólnej efektywności rynku.</w:t>
      </w:r>
    </w:p>
    <w:p>
      <w:r>
        <w:t>Przepisy dotyczące preferencji europejskich zawarte w aktach sektorowych są niezbędne, aby zareagować na nowe imperatywy geopolityczne, przy pełnym poszanowaniu międzynarodowych zobowiązań Unii. Są one zaprojektowane w sposób proporcjonalny, tak aby nie nakładać nieproporcjonalnych obciążeń finansowych na budżety instytucji zamawiających. Mają one na celu ograniczenie obciążeń administracyjnych dla nabywców publicznych, w szczególności poprzez wsparcie wdrażania i wykorzystanie narzędzi cyfrowych na rynku zamówień publicznych.</w:t>
      </w:r>
    </w:p>
    <w:p>
      <w:r>
        <w:t>Określenie na poziomie Unii wskaźnika najlepszej ceny do jakości jako standardowej metody udzielania zamówień z mechanizmem „przestrzegaj lub wyjaśnij” jest niezbędne do osiągnięcia wspólnych celów polityki społecznej, środowiskowej i innowacyjnej Unii. Chociaż wpływ na ryzyko nadużyć finansowych i nieprawidłowości zależy od zdolności administracyjnych, szereg zabezpieczeń zmniejsza takie ryzyko, w szczególności wymóg, aby wszystkie kryteria jakości pozostały związane z przedmiotem zamówienia, co ogranicza potencjalne zakłócenia konkurencji.</w:t>
      </w:r>
    </w:p>
    <w:p>
      <w:r>
        <w:t>• Wybór instrumentu</w:t>
      </w:r>
    </w:p>
    <w:p>
      <w:r>
        <w:t>Proponowane zmiany regulacyjne służą wyeliminowaniu niedociągnięć stwierdzonych w ocenie dyrektyw z 2014 r. poprzez zwiększenie spójności i jasności prawa dzięki połączeniu tych trzech dyrektyw w jedno rozporządzenie oraz usprawnieniu struktury proceduralnej. Stanowi to odpowiedź na utrzymującą się fragmentację i niewystarczającą harmonizację kilku instrumentów UE, co zwiększyło złożoność, niepewność prawa i koszty przestrzegania przepisów. Dzięki ustanowieniu rozporządzenia mającego bezpośrednie zastosowanie ramy te tworzą jednolity zbiór przepisów na szczeblu Unii, zwiększając spójność stosowania, ograniczając fragmentację i unikając rozbieżnego wdrażania na szczeblu krajowym (nadmiernie rygorystyczne wdrażanie), przy jednoczesnym zachowaniu niezbędnej elastyczności. Zgodnie z mandatem Rady Europejskiej „Jedna Europa, jeden rynek” i zaleceniem zawartym w sprawozdaniu Letty zapewnia to większą pewność prawa i bardziej wyrównane warunki działania we wszystkich państwach członkowskich.</w:t>
      </w:r>
    </w:p>
    <w:p>
      <w:r>
        <w:t>3. WYNIKI OCEN EX POST, OCENY SKUTKÓW ZAINTERESOWANYCH STRON</w:t>
      </w:r>
    </w:p>
    <w:p>
      <w:r>
        <w:t>• Oceny ex post/oceny adekwatności obowiązującego prawodawstwa</w:t>
      </w:r>
    </w:p>
    <w:p>
      <w:r>
        <w:t>Ocena miała na celu ocenę skutków dyrektyw z 2014 r. w sprawie zamówień publicznych w latach 2016–2024. Ocena zapewniła opartą na dowodach ocenę skuteczności, efektywności, spójności i adekwatności tych dyrektyw, a jej ustalenia wykorzystano zarówno w procesie opracowywania, jak i w towarzyszącej mu ocenie skutków.</w:t>
      </w:r>
    </w:p>
    <w:p>
      <w:r>
        <w:t>W ocenie stwierdzono, że cel, jakim jest zapewnienie większej jasności i pewności prawa w odniesieniu do zakresu i zasięgu, nie został osiągnięty, a pozostałe cele zostały osiągnięte jedynie częściowo: mianowicie uproszczenie, usprawnienie i zwiększenie elastyczności postępowań o udzielenie zamówienia; wykorzystanie zamówień publicznych do wspierania innych celów polityki, takich jak polityka społeczna, środowiskowa i innowacyjna; otwarcie rynków na większą konkurencję transgraniczną i ułatwienie udziału MŚP; oraz wzmocnienie ram zarządzania w celu zapobiegania nieprawidłowościom. Chociaż w ocenie potwierdzono, że wszystkie te cele są nadal bardzo istotne, stwierdzono również, że dyrektywy nie są adekwatne do celu, jakim jest zapewnienie bezpieczeństwa gospodarczego oraz reagowanie na zakłócenia i zależności w łańcuchu dostaw.</w:t>
      </w:r>
    </w:p>
    <w:p>
      <w:r>
        <w:t>• Konsultacje z zainteresowanymi stronami</w:t>
      </w:r>
    </w:p>
    <w:p>
      <w:r>
        <w:t>Zgodnie z wytycznymi dotyczącymi lepszego stanowienia prawa Komisja przeprowadziła ambitny i inkluzywny proces konsultacji mający na celu zebranie wiarygodnych dowodów od wszystkich podmiotów zajmujących się zamówieniami publicznymi.</w:t>
      </w:r>
    </w:p>
    <w:p>
      <w:r>
        <w:t>W okresie od 3 listopada 2025 r. do 26 stycznia 2026 r. przeprowadzono połączone zaproszenie do zgłaszania uwag i konsultacje publiczne, w wyniku których otrzymano odpowiednio 745 i 1037 odpowiedzi od stowarzyszeń przedsiębiorców, przedsiębiorstw, organów publicznych, związków zawodowych, organizacji pozarządowych i obywateli, głównie z państw UE i EOG. Otwarte konsultacje publiczne podzielono na trzy sekcje tematyczne: efektywność i przejrzystość, równowaga między celami ekologicznymi, społecznymi, innowacyjnymi i innymi oraz bezpieczeństwo gospodarcze i strategiczna autonomia.</w:t>
      </w:r>
    </w:p>
    <w:p>
      <w:r>
        <w:t>Uzupełnieniem tych konsultacji publicznych była specjalna współpraca z państwami członkowskimi i ekspertami za pośrednictwem grupy ekspertów ds. zamówień publicznych (EXPP), grupy ekspertów ds. elektronicznych zamówień publicznych (EXEP) i grupy ekspertów zainteresowanych stron ds. zamówień publicznych (SEGPP), a także ukierunkowane wysłuchania z udziałem partnerów społecznych i organizacji pozarządowych. Szczególną uwagę zwrócono na udział MŚP, z którymi konsultowano się w szczególności za pośrednictwem sieci pełnomocników ds. MŚP oraz specjalnego panelu MŚP gromadzącego 108 odpowiedzi.</w:t>
      </w:r>
    </w:p>
    <w:p>
      <w:r>
        <w:t>• Gromadzenie i wykorzystywanie wiedzy specjalistycznej</w:t>
      </w:r>
    </w:p>
    <w:p>
      <w:r>
        <w:t>Wyniki tych konsultacji, a w szczególności otwartych konsultacji publicznych, zostały starannie uwzględnione podczas przygotowywania wniosku. Respondenci zasadniczo zgodzili się co do potrzeby wyjścia poza paradygmat najniższych kosztów, zwiększenia elastyczności proceduralnej i zmniejszenia obciążeń administracyjnych poprzez pełną cyfryzację, natomiast wyrażono zdecydowane poparcie (ponad 80 % we wszystkich grupach respondentów z UE i EOG) dla priorytetowego traktowania europejskich towarów i usług w sektorach strategicznych, w szczególności poprzez rozszerzenie kryteriów pozacenowych i wprowadzenie mechanizmów preferencji europejskiej. MŚP uznały uproszczenie, cyfryzację i poprawę dostępności danych za kluczowe priorytety i wskazały na trudności spowodowane rozbieżnym wdrażaniem na szczeblu krajowym. Ich wkład bezpośrednio przyczynił się do wprowadzenia środków mających na celu ułatwienie dostępu MŚP.</w:t>
      </w:r>
    </w:p>
    <w:p>
      <w:r>
        <w:t>• Ocena skutków</w:t>
      </w:r>
    </w:p>
    <w:p>
      <w:r>
        <w:t>Zgodnie z wytycznymi dotyczącymi lepszego stanowienia prawa niniejszy wniosek opiera się na ocenie skutków, w której przeanalizowano problem i problemy cząstkowe związane ze zmianą dyrektyw w sprawie zamówień publicznych w globalnym kontekście wyzwań związanych z konkurencyjnością. W ocenie skutków określono możliwe warianty strategiczne ukierunkowane na eliminację czynników powodujących problemy oraz oceniono ich prawdopodobne skutki. Ocena skutków została skonstruowana w taki sposób, aby odzwierciedlała otwarte konsultacje publiczne, zaproszenie do zgłaszania uwag i różne konsultacje.</w:t>
      </w:r>
    </w:p>
    <w:p>
      <w:r>
        <w:t>Ocena skutków otrzymała początkowo negatywną opinię Rady ds. Kontroli Regulacyjnej 17 kwietnia 2026 r. Rada wskazała szereg niedociągnięć, które należało wyeliminować, w tym niewystarczającą analizę spójności między interwencją a aktami sektorowymi zawierającymi przepisy dotyczące zamówień publicznych oraz nieodpowiednią ocenę skali problemów związanych z celami środowiskowymi, społecznymi i innowacyjnymi. Rada ds. Kontroli Regulacyjnej wskazała również na potrzebę lepszego określenia i uzasadnienia preferowanych wariantów strategicznych, w szczególności w odniesieniu do sposobu definiowania jakości w ramach zamówień w ramach BPQR, oraz lepszej oceny kosztów, korzyści i proporcjonalności preferowanego wariantu, w tym jego wpływu na konkurencję i ceny. Ponadto Rada podkreśliła, że w sprawozdaniu brakuje dogłębnej oceny łącznych skutków i niezamierzonych konsekwencji preferowanego wariantu, w szczególności ryzyka jednoczesnego wprowadzenia większej liczby negocjacji i większego polegania na zasadach oceny jakości produktów.</w:t>
      </w:r>
    </w:p>
    <w:p>
      <w:r>
        <w:t>Powyższe kwestie zostały uwzględnione w zmienionej ocenie skutków przedłożonej Radzie, która 8 czerwca 2026 r. wydała pozytywną opinię z zastrzeżeniami. Rada zwróciła się o przedstawienie dalszych szczegółowych informacji na temat nowej otwartej procedury z ewentualnymi negocjacjami oraz na temat BPQR i jej podejścia „przestrzegaj lub wyjaśnij”, a także o większą jasność co do analizy kosztów i korzyści. Wyjaśnienia te zostały przedstawione.</w:t>
      </w:r>
    </w:p>
    <w:p>
      <w:r>
        <w:t>Ocena skutków opiera się na zestawie 4 celów szczegółowych, które dotyczą zidentyfikowanych czynników powodujących problemy. Określono w nim dwa lub trzy warianty strategiczne dla każdego celu szczegółowego (elastyczność [FLX]; Środowiskowy, społeczny i innowacyjny [ESI]; Kupować europejskie [BEU] i rynek cyfrowy [MPL]).</w:t>
      </w:r>
    </w:p>
    <w:p>
      <w:r>
        <w:t>• FLX – [FLX.1] Utrzymanie istniejącej architektury zamówień publicznych przy jednoczesnym wprowadzeniu</w:t>
      </w:r>
    </w:p>
    <w:p>
      <w:r>
        <w:t>ukierunkowana elastyczność, umożliwiająca wybór procedury, umożliwiająca istotne korekty w ofertach, jeżeli nie zmieniają one istoty zamówienia, ulepszająca wytyczne dotyczące wstępnych konsultacji rynkowych oraz precyzująca pojęcia takie jak „kryzys” i ryzyko związane z koncesją. Dostosowano w nim również przepisy zawarte we wszystkich dyrektywach i zawarto odniesienia do podstaw wykluczenia z przepisów sektorowych. [FLX.2] łączy trzy istniejące dyrektywy w jeden akt prawny, a procedury restrukturyzacyjne w otwartą procedurę z możliwymi negocjacjami, procedurę dynamiczną, procedurę innowacyjną oraz umowy wymagające jedynie publikacji publicznego podsumowania wyników, np. w sytuacjach nadzwyczajnych. Włącza również podstawy wykluczenia z istniejących aktów sektorowych i w miarę możliwości usuwa je z aktów sektorowych. Promuje konsultacje poprzedzające udzielenie zamówienia, ujednolica etapy negocjacji z silniejszymi zabezpieczeniami przejrzystości oraz zaostrza wymogi dotyczące zwalczania nadużyć finansowych i identyfikowalności, a jednocześnie eliminuje powielanie działań w poszczególnych sektorach.</w:t>
      </w:r>
    </w:p>
    <w:p>
      <w:r>
        <w:t>• Instrument wsparcia w sytuacjach nadzwyczajnych – [ESI.1] zachęca do udzielania zamówień w oparciu o jakość poprzez ustalenie najlepszej ceny —</w:t>
      </w:r>
    </w:p>
    <w:p>
      <w:r>
        <w:t>Współczynnik jakości jako domyślna metoda udzielenia zamówienia zgodnie z logiką „przestrzegaj lub wyjaśnij”, z minimalnymi wagami jakości. Promuje oznakowanie ekologiczne, rachunek kosztów cyklu życia i normy efektywności, określa ramy zamówień publicznych na innowacje, ogranicza pełne podwykonawstwo oraz wyjaśnia związek między warunkami pracy a przedmiotem zamówienia. [ESI.2] opiera się na tym założeniu poprzez włączenie odpowiednich przepisów horyzontalnych z innych aktów Unii, harmonizację definicji i centralizację przepisów umożliwiających przyjmowanie aktów delegowanych i wykonawczych. [ESI.3] wprowadza obowiązek stosowania BPQR z minimalnymi wagami jakości bez klauzuli opt-out, wprowadza wiążące cele i obowiązki sprawozdawcze państw członkowskich, w stosownych przypadkach wprowadza obowiązek stosowania oznakowania ekologicznego UE, jeszcze bardziej ogranicza łańcuchy podwykonawców oraz włącza wymogi sektorowe do ram ogólnych.</w:t>
      </w:r>
    </w:p>
    <w:p>
      <w:r>
        <w:t>• BEU – [BEU.1] wprowadziłaby dobrowolną preferencję europejską poprzez kodyfikację</w:t>
      </w:r>
    </w:p>
    <w:p>
      <w:r>
        <w:t>istniejące orzecznictwo TSUE i umożliwienie instytucjom zamawiającym ograniczenia udziału do UE/EOG i innych wykonawców lub towarów objętych ochroną międzynarodową (GPA i odpowiednie umowy o wolnym handlu). Zawiera on praktyczne narzędzia weryfikacji kwalifikujących się krajów oraz wytyczne dotyczące reguł pochodzenia. [BEU.2] zapewnia ramy spójnej preferencji europejskiej w wybranych sektorach w przyszłych aktach, za pośrednictwem zestawu mechanizmów dla nabywców publicznych, przy jednoczesnym ujednoliceniu definicji, reguł pochodzenia i dokumentacji oraz włączeniu tych narzędzi do unijnej infrastruktury zamówień cyfrowych. [BEU.3] wprowadza obowiązek stosowania preferencji europejskiej, wymagając wykluczenia wykonawców spoza UE/EOG lub wykonawców z państw trzecich nieobjętych preferencją, z zastrzeżeniem jedynie ograniczonych zabezpieczeń, takich jak brak konkurencji lub nadmierne koszty.</w:t>
      </w:r>
    </w:p>
    <w:p>
      <w:r>
        <w:t>• MPL – [MPL.1] ustanawia zdecentralizowaną sieć wzajemnie połączonych krajowych</w:t>
      </w:r>
    </w:p>
    <w:p>
      <w:r>
        <w:t>platformy e-zamówień połączone unijną warstwą interoperacyjności. Wprowadzono w nim cyfrowe narzędzie do weryfikowania danych dotyczących tożsamości i kwalifikowalności przedsiębiorstw, wspólną usługę w zakresie kwalifikowalności zamówień publicznych oraz jednolite ramy zarządzania danymi, wzmacniające przejrzystość i zdolności w zakresie zwalczania nadużyć finansowych poprzez systematyczną wymianę danych, narzędzia analizy ryzyka i obowiązkową sprawozdawczość. [MPL.2] zamiast tego zastępuje systemy krajowe jedną platformą e-zamówień na szczeblu UE dla wszystkich procedur przewidzianych w akcie, w pełni centralizując procesy udzielania zamówień, zarządzanie danymi, monitorowanie i narzędzia zgodności na szczeblu Unii.</w:t>
      </w:r>
    </w:p>
    <w:p>
      <w:r>
        <w:t>Na podstawie dostępnych danych oczekuje się, że wniosek przyniesie znaczne oszczędności kosztów netto, głównie dzięki utworzeniu cyfrowego ekosystemu zamówień publicznych. Dla wykonawców nowe wymogi wiążą się z powtarzającymi się kosztami w wysokości 477 mln EUR, które są z nadwyżką kompensowane powtarzającymi się oszczędnościami w wysokości 1 mld EUR z ekosystemu cyfrowego i innymi uproszczeniami. W przypadku instytucji zamawiających nowe koszty powtarzające się wynoszą 141 mln EUR, natomiast ekosystem cyfrowy przynosi roczne oszczędności w wysokości 220 mln EUR. W przypadku poszczególnych postępowań przeciętna instytucja zamawiająca zaoszczędzi około 4,4 %, podczas gdy przeciętny wykonawca zaoszczędzi około 8,9 %. Ogólnie rzecz biorąc, wniosek przynosi zatem znaczne oszczędności netto zarówno wykonawcom, jak i instytucjom zamawiającym.</w:t>
      </w:r>
    </w:p>
    <w:p>
      <w:r>
        <w:t>• Sprawność regulacyjna i uproszczenie</w:t>
      </w:r>
    </w:p>
    <w:p>
      <w:r>
        <w:t>Wniosek upraszcza ramy prawne poprzez zastąpienie trzech obowiązujących dyrektyw jednym bezpośrednio stosowanym rozporządzeniem. Zmniejsza to rozdrobnienie, eliminuje rozbieżności wynikające z transpozycji do prawa krajowego oraz zapewnia nabywcom publicznym i wykonawcom bardziej spójny i dostępny zbiór przepisów. Usprawnia on również ramy proceduralne poprzez zmniejszenie liczby procedur i ustanowienie bardziej elastycznych i operacyjnych narzędzi dostosowanych do różnych potrzeb zakupowych.</w:t>
      </w:r>
    </w:p>
    <w:p>
      <w:r>
        <w:t>Wniosek jest również wynikiem kompleksowego regulacyjnego procesu gruntownego czyszczenia. Konsolidacja w jednym prawodawstwie referencyjnym, tj. w niniejszym rozporządzeniu, przepisów dotyczących podstaw wykluczenia, horyzontalnych przepisów dotyczących przedmiotu zakupu oraz uprawnień w zakresie zielonych zamówień publicznych, które są obecnie rozproszone w sektorowych aktach prawnych, znacznie uprości stosowanie tych przepisów w praktyce oraz zwiększy ich czytelność i pewność prawa.</w:t>
      </w:r>
    </w:p>
    <w:p>
      <w:r>
        <w:t>Dalsze uproszczenie osiąga się dzięki szerszemu wykorzystaniu rozwiązań cyfrowych i ustrukturyzowanych danych, w tym interoperacyjnych narzędzi cyfrowych, elektronicznej usługi kwalifikowalności opartej na zasadzie jednorazowości oraz zharmonizowanych wymogów dotyczących publikacji i danych, ograniczeniu powtarzalnych formalności administracyjnych i poprawie efektywności. Wniosek zmniejsza również obciążenia dla wykonawców, w szczególności MŚP, poprzez ograniczenie nieproporcjonalnych wymogów dotyczących wyboru i ułatwienie uczestnictwa transgranicznego. Jednocześnie we wniosku zachowano podstawowe gwarancje przejrzystości, równego traktowania, konkurencji i rozliczalności wymagane przez unijne prawo zamówień publicznych.</w:t>
      </w:r>
    </w:p>
    <w:p>
      <w:r>
        <w:t>• Prawa podstawowe</w:t>
      </w:r>
    </w:p>
    <w:p>
      <w:r>
        <w:t>Wniosek nie ma wpływu na Kartę praw podstawowych.</w:t>
      </w:r>
    </w:p>
    <w:p>
      <w:r>
        <w:t>4. WPŁYW NA BUDŻET</w:t>
      </w:r>
    </w:p>
    <w:p>
      <w:r>
        <w:t>Oczekuje się, że proponowana inicjatywa będzie miała łączne skutki finansowe przez siedem lat w wysokości około 163,5 mln EUR, w tym roczna stopa inflacji w wysokości 2 %.[12] Budżet ten obejmuje około 142,2 mln EUR na środki operacyjne i około 21,3 mln EUR na zasoby ludzkie. Jak stwierdzono w LFDS, przewidywany roczny podział wynosi około 22,0 mln EUR w 2028 r., 22,4 mln EUR w 2029 r., 22,9 mln EUR w 2030 r., 23,3 mln EUR w 2031 r., 23,8 mln EUR w 2032 r., 24,3 mln EUR w 2032 r. i 24,8 mln EUR w 2034 r.</w:t>
      </w:r>
    </w:p>
    <w:p>
      <w:r>
        <w:t>Oczekuje się, że budżet zostanie sfinansowany w ramach wieloletnich ram finansowych na lata 2028–2034. Szacowany wpływ na budżet nie przesądza o kształcie kolejnych wieloletnich ram finansowych. Źródło finansowania i zakres zobowiązań finansowych Unii w okresie po 2027 r. nadal zależą od wyniku negocjacji międzyinstytucjonalnych w sprawie WRF na lata 2028–2034, a następnie określa się je w ramach rocznej procedury budżetowej.</w:t>
      </w:r>
    </w:p>
    <w:p>
      <w:r>
        <w:t>5. INNE ELEMENTY</w:t>
      </w:r>
    </w:p>
    <w:p>
      <w:r>
        <w:t>• Plany wdrożenia oraz ustalenia dotyczące monitorowania, oceny i sprawozdawczości</w:t>
      </w:r>
    </w:p>
    <w:p>
      <w:r>
        <w:t>Aby zapewnić skuteczne wdrożenie, w niniejszym rozporządzeniu przewidziano podejście etapowe w odniesieniu do tych elementów, które wymagają rozwoju technicznego lub dostosowania instytucjonalnego, w szczególności ekosystemu cyfrowego, w tym elektronicznej usługi kwalifikowalności, oraz krajowych przestrzeni danych dotyczących zamówień publicznych i przestrzeni danych dotyczących zamówień publicznych. Komisja będzie wspierać wdrażanie za pomocą aktów delegowanych i wykonawczych, wytycznych, specyfikacji technicznych, prac normalizacyjnych oraz, w stosownych przypadkach, narzędzi operacyjnych i usług cyfrowych.</w:t>
      </w:r>
    </w:p>
    <w:p>
      <w:r>
        <w:t>Państwa członkowskie będą zobowiązane do wyznaczenia krajowego organu koordynującego i wprowadzenia rozwiązań w zakresie zarządzania niezbędnych do zapewnienia skutecznej koordynacji między organami i podmiotami zaangażowanymi w stosowanie niniejszego rozporządzenia. Będą one również zobowiązane do wspierania profesjonalizacji zamówień publicznych, w tym poprzez strategie krajowe i odpowiednie struktury wsparcia, oraz do zapewnienia, aby odpowiednie podmioty miały zdolność do skutecznego stosowania nowych ram.</w:t>
      </w:r>
    </w:p>
    <w:p>
      <w:r>
        <w:t>Niniejsze rozporządzenie ustanawia wzmocnione ramy monitorowania w oparciu o ustrukturyzowane dane dotyczące zamówień. Każde państwo członkowskie będzie zobowiązane do ustanowienia lub wyznaczenia krajowej przestrzeni danych dotyczących zamówień publicznych jako centralnego krajowego punktu dostępu do danych dotyczących zamówień publicznych i cyklu życia umów. Te krajowe przestrzenie danych zostaną uwzględnione w przestrzeni danych dotyczących zamówień publicznych na szczeblu Unii zarządzanej przez Komisję. Umożliwi to bardziej systematyczne monitorowanie rynków zamówień publicznych, strategicznych wyników zamówień publicznych, konkurencji, udziału transgranicznego, dostępu MŚP oraz ryzyka wpływającego na integralność, odporność i bezpieczeństwo dostaw.</w:t>
      </w:r>
    </w:p>
    <w:p>
      <w:r>
        <w:t>Państwa członkowskie będą zobowiązane do ustanowienia opartych na dowodach ram monitorowania funkcjonowania ich systemów zamówień publicznych i rynków oraz do podawania wyników tego monitorowania do wiadomości publicznej co najmniej raz w roku. Państwa członkowskie będą informować Komisję o wynikach tych analiz oraz o środkach podjętych lub planowanych w celu zaradzenia stwierdzonym niedociągnięciom strukturalnym.</w:t>
      </w:r>
    </w:p>
    <w:p>
      <w:r>
        <w:t>Komisja będzie stale monitorować funkcjonowanie zamówień publicznych w Unii na podstawie danych dostępnych w przestrzeni danych dotyczących zamówień publicznych. Co trzy lata Komisja będzie przedstawiać analizę systemu zamówień publicznych w całej Unii.</w:t>
      </w:r>
    </w:p>
    <w:p>
      <w:r>
        <w:t>Ponadto niniejsze rozporządzenie zobowiązuje Komisję do przeprowadzenia oceny siedem lat po jego wejściu w życie, a następnie co siedem lat.</w:t>
      </w:r>
    </w:p>
    <w:p>
      <w:r>
        <w:t>• Szczegółowe wyjaśnienie poszczególnych przepisów wniosku</w:t>
      </w:r>
    </w:p>
    <w:p>
      <w:r>
        <w:t>Część I zawiera przepisy ogólne dotyczące przedmiotu, zakresu stosowania, w szczególności odpowiednich progów i mechanizmów ich aktualizacji, zasad i definicji. W niniejszym rozporządzeniu wymaga się, aby nabywcy publiczni traktowali wykonawców unijnych i wykonawców objętych niniejszą Umową w sposób równy i niedyskryminujący, działali w sposób przejrzysty i proporcjonalny oraz zapewniali integralność postępowań o udzielenie zamówienia publicznego. Zamówienia publiczne muszą zapewniać najlepszą relację jakości do ceny, unikać nieuzasadnionych ograniczeń konkurencji i mieć na celu przyczynienie się do osiągnięcia szerszych celów polityki Unii).</w:t>
      </w:r>
    </w:p>
    <w:p>
      <w:r>
        <w:t>W części II określono odpowiednie podmioty uczestniczące w zamówieniach publicznych. Tytuł I rozpoczyna się od określenia nabywców publicznych objętych przepisami, a następnie obejmuje przedsiębiorstwa użyteczności publicznej, wykazu odnośnych sektorów i dopuszczenia zwolnień, w przypadku gdy działalność bezpośrednio podlega konkurencji, oraz określenia procedury ubiegania się o zwolnienie przez Komisję. Tytuł II dotyczy wykonawców, w tym grup, wykorzystania zdolności stron trzecich i podwykonawstwa, przy czym istnieją dobrze skalibrowane przepisy regulujące wykorzystanie tego instrumentu w celu uniknięcia nadużyć. W tytule tym określono ponadto obowiązkowe podstawy wykluczenia związane z poważnymi przestępstwami, takimi jak korupcja, nadużycia finansowe, terroryzm, handel ludźmi, przestępstwa przeciwko środowisku i wykorzystywanie dzieci, oraz fakultatywne podstawy wykluczenia związane z sytuacjami budzącymi wątpliwości co do wiarygodności lub uczciwości danego wykonawcy. Przepisy dotyczące kryteriów kwalifikacji określają jasne zasady dotyczące zdolności finansowych, technicznych i zawodowych wykonawców, których nabywcy publiczni mogą wymagać, jeżeli chcą stosować kryteria kwalifikacji w swoich postępowaniach o udzielenie zamówienia.</w:t>
      </w:r>
    </w:p>
    <w:p>
      <w:r>
        <w:t>W części III określono zasady proceduralne. Tytuł I dotyczy procedur udzielania zamówień publicznych i zawiera przepisy dotyczące planowania, konsultacji rynkowych, wyboru procedur, szacowania wartości zamówienia oraz prowadzenia negocjacji, które są dozwolone we wszystkich procedurach, wraz z odpowiednimi zabezpieczeniami w zakresie przejrzystości i niedyskryminacji. Procedury te obejmują procedurę otwartą, procedurę dynamiczną, procedurę innowacyjną oraz zamówienia wymagające jedynie publikacji publicznego podsumowania wyników, np. w sytuacjach nadzwyczajnych i kryzysowych.</w:t>
      </w:r>
    </w:p>
    <w:p>
      <w:r>
        <w:t>Tytuł II dotyczy strategicznego planowania i realizacji zamówień publicznych, usprawniając odpowiednie definicje i przepisy w celu uwzględnienia kwestii związanych z szerszymi celami polityki Unii:</w:t>
      </w:r>
    </w:p>
    <w:p>
      <w:r>
        <w:t>• Rozdział 1 dotyczy zielonych zamówień publicznych. Zawiera on definicję „zielonych” odbiorców</w:t>
      </w:r>
    </w:p>
    <w:p>
      <w:r>
        <w:t>w przepisach dotyczących zamówień publicznych określono obowiązki związane ze wspieraniem gospodarki o obiegu zamkniętym, efektywnego gospodarowania zasobami, efektywności energetycznej i wymogów w zakresie zielonych zamówień publicznych w odniesieniu do niektórych produktów.</w:t>
      </w:r>
    </w:p>
    <w:p>
      <w:r>
        <w:t>• Rozdział 2 obejmuje społecznie odpowiedzialne zamówienia publiczne, w tym dostępność,</w:t>
      </w:r>
    </w:p>
    <w:p>
      <w:r>
        <w:t>zamówienia zastrzeżone dla organizacji, których głównym celem jest społeczna i zawodowa integracja osób niepełnosprawnych lub osób defaworyzowanych, oraz zamówienia na usługi społeczne, zdrowotne i edukacyjne.</w:t>
      </w:r>
    </w:p>
    <w:p>
      <w:r>
        <w:t>• Rozdział 3 dotyczy zamówień publicznych na innowacje. Wyjaśniono w nim cele w zakresie innowacji</w:t>
      </w:r>
    </w:p>
    <w:p>
      <w:r>
        <w:t>w dziedzinie zamówień publicznych, zamówień publicznych na innowacje i praw własności intelektualnej.</w:t>
      </w:r>
    </w:p>
    <w:p>
      <w:r>
        <w:t>• Rozdział 4 dotyczy bezpieczeństwa i odporności oraz wyjaśnia, w jaki sposób względy bezpieczeństwa</w:t>
      </w:r>
    </w:p>
    <w:p>
      <w:r>
        <w:t>należy uwzględnić w zamówieniach publicznych. Zawiera on niewyczerpujący wykaz interesów związanych z bezpieczeństwem i ochroną publiczną, które należy wziąć pod uwagę, oraz reguluje rozwiązywanie umów i wykluczanie operatorów podczas realizacji umowy ze względów bezpieczeństwa. Jego celem jest również zapewnienie zgodności z wymogami w zakresie cyberbezpieczeństwa oraz określenie odporności i bezpieczeństwa dostaw dla podmiotów krytycznych i infrastruktury krytycznej.</w:t>
      </w:r>
    </w:p>
    <w:p>
      <w:r>
        <w:t>• W rozdziale 5 wyjaśniono pojęcie preferencji europejskiej poprzez zdefiniowanie gospodarki objętej preferencją</w:t>
      </w:r>
    </w:p>
    <w:p>
      <w:r>
        <w:t>wykonawcy, towary, usługi i roboty budowlane: w przypadku gdy pochodzą z państwa trzeciego będącego stroną Porozumienia WTO w sprawie zamówień rządowych lub z państwa trzeciego, które zawarło dwustronną lub wielostronną umowę handlową z Unią. Określono w nim wymogi dotyczące preferencji europejskiej, w tym możliwość ograniczenia lub odrzucenia niektórych wykonawców i ofert. Przewidziano w nim również ramy obowiązkowej preferencji europejskiej w sektorowych aktach prawnych UE, a jednocześnie określono wyjątki, w przypadku których nabywcy publiczni mogą podjąć decyzję o niestosowaniu preferencji europejskiej.</w:t>
      </w:r>
    </w:p>
    <w:p>
      <w:r>
        <w:t>W tytule III ustanowiono przepisy horyzontalne obejmujące kluczowe aspekty procedury udzielania zamówień, w tym zamówienia wyłączone i mieszane, w tym zamówienia w dziedzinie obronności i bezpieczeństwa, ale także różne usługi niepodlegające dyscyplinom zamówień publicznych, takie jak usługi prawne, usługi arbitrażowe i pojednawcze, umowy o pracę itp. Niniejsze rozporządzenie wyjaśnia ważną koncepcję związku przedmiotowego i ustanawia jasne przepisy dotyczące specyfikacji technicznych, w tym stosowania norm i oznakowań, oraz kryteriów udzielenia zamówienia, w szczególności stosowania kryteriów jakości za pośrednictwem BPQR. W tytule III uregulowano ponadto inne aspekty przebiegu procedur, w tym poufność, konflikty interesów, wcześniejsze zaangażowanie wykonawców, terminy, dokumenty zamówienia, podział na części, rażąco niskie oferty, korekty i unieważnienia oraz umowy ramowe. Ponadto dotyczy ona wykonywania umów, w tym modyfikacji i rozwiązywania umów, mechanizmów dostosowawczych, płatności oraz wymogów dotyczących publikacji i dokumentacji.</w:t>
      </w:r>
    </w:p>
    <w:p>
      <w:r>
        <w:t>Część IV reguluje koncesje, określa wyłączenia oraz ustanawia zasady dotyczące procedur przygotowania, projektowania i udzielania koncesji, w tym ustrukturyzowanej oceny ryzyka. Obejmują one również okres obowiązywania koncesji i zarządzanie umowami (takie jak zmiany i rozwiązanie umowy).</w:t>
      </w:r>
    </w:p>
    <w:p>
      <w:r>
        <w:t>W części V określono ramy dla ekosystemu cyfrowego wspierającego wdrażanie niniejszego rozporządzenia. Tworzy on zasady interoperacyjności na potrzeby bezpiecznej sieci wymiany danych dotyczących zamówień publicznych. Umożliwia to komunikację elektroniczną między nabywcami publicznymi a wykonawcami za pośrednictwem różnych dostawców usług e-zamówień. Określono w nim również obowiązki Komisji w zakresie pomocy usługodawcom w kontroli kwalifikowalności (podstawy wykluczenia, kryteria wyboru, wymogi dotyczące pochodzenia).</w:t>
      </w:r>
    </w:p>
    <w:p>
      <w:r>
        <w:t>Część VI dotyczy przejrzystości i zarządzania. Przepisy dotyczące przestrzeni danych (tytuł I) regulują z jednej strony tworzenie i funkcje krajowych przestrzeni danych dotyczących zamówień publicznych, a z drugiej strony przestrzeni danych dotyczących zamówień publicznych ustanowionej przez Komisję – centralnego repozytorium informacji o zamówieniach pochodzących ze wszystkich NPPDS w celu monitorowania postępowań o udzielenie zamówienia publicznego i umów na szczeblu Unii. W tytule II określono różne narzędzia i mechanizmy zarządzania umożliwiające regularne monitorowanie systemu zamówień publicznych w celu oceny wyników i wspierania usprawnień; obejmuje to wyznaczenie krajowego organu koordynującego, który będzie nadzorował i koordynował wdrażanie; oraz odpowiednie środki mające na celu zwiększenie profesjonalizacji zamówień publicznych jako długoterminowych i strategicznych elementów zarządzania publicznego.</w:t>
      </w:r>
    </w:p>
    <w:p>
      <w:r>
        <w:t>W części VII określono przepisy końcowe określające wykonywanie przekazanych uprawnień i upoważniające Komisję do przyjmowania aktów delegowanych. Niniejsze rozporządzenie uchyla dyrektywy 2014/23/UE, 2014/24/UE i 2014/25/UE oraz zmienia horyzontalne przepisy dotyczące zamówień publicznych zawarte w rozporządzeniu (UE) 2014/1781, rozporządzeniu (UE) 2024/1735, rozporządzeniu</w:t>
      </w:r>
    </w:p>
    <w:p>
      <w:r>
        <w:t>(UE) 2023/1542, rozporządzenia (UE) 2024/3110, rozporządzenia (UE) 2025/40, dyrektywy 2023/1791, dyrektywy 2008/98/WE, rozporządzenia (UE) 2024/1252, dyrektywy 2019/882, dyrektywy 2022/2381, rozporządzenia (UE) 2024/2847, dyrektywy (UE) 2024/1760, rozporządzenia (UE) 2024/1157; zmienia ono również rozporządzenie 1370/2007. Ponadto określono w nim cel przeglądu na siedem lat po przyjęciu i odroczenie rozpoczęcia stosowania o dwa lata.</w:t>
      </w:r>
    </w:p>
    <w:p>
      <w:r>
        <w:t>2026/0265 (COD)</w:t>
      </w:r>
    </w:p>
    <w:p>
      <w:pPr>
        <w:pStyle w:val="Heading3"/>
        <w:jc w:val="center"/>
      </w:pPr>
      <w:r>
        <w:t>Wniosek</w:t>
      </w:r>
    </w:p>
    <w:p>
      <w:r>
        <w:t>ROZPORZĄDZENIE PARLAMENTU EUROPEJSKIEGO I RADY</w:t>
      </w:r>
    </w:p>
    <w:p>
      <w:r>
        <w:t>w sprawie zamówień publicznych i koncesji, uchylające dyrektywy 2014/23/UE, 2014/24/UE oraz</w:t>
      </w:r>
    </w:p>
    <w:p>
      <w:r>
        <w:t>2014/25/UE oraz zmieniające rozporządzenia (WE) nr 1370/2007, (UE) 2023/1542, (UE) 2024/1157, (UE) 2024/1252, (UE) 2024/1735, (UE) 2024/1781, (UE) 2024/2847, (UE)</w:t>
      </w:r>
    </w:p>
    <w:p>
      <w:r>
        <w:t>2024/3110 i (UE) 2025/40 oraz dyrektywy 2008/98/WE, (UE) 2019/882, (UE) 2022/2381,</w:t>
      </w:r>
    </w:p>
    <w:p>
      <w:pPr>
        <w:pStyle w:val="Heading3"/>
        <w:jc w:val="center"/>
      </w:pPr>
      <w:r>
        <w:t>(UE) 2023/1791 i (UE) 2024/1760 (ustawa o zamówieniach publicznych)</w:t>
      </w:r>
    </w:p>
    <w:p>
      <w:r>
        <w:t>(Tekst mający znaczenie dla EOG)</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Sprawozdanie specjalne z 2023 r. dotyczące zamówień publicznych w UE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Publiczno-zamówienia-ramy prawne.</w:t>
      </w:r>
    </w:p>
    <w:p>
      <w:r>
        <w:rPr>
          <w:sz w:val="16"/>
        </w:rPr>
        <w:t>10 https://commission.europa.eu/publications/simpler-clearer-and-better-enforced-eu-rulebook_en.</w:t>
      </w:r>
    </w:p>
    <w:p>
      <w:r>
        <w:rPr>
          <w:sz w:val="16"/>
        </w:rPr>
        <w:t>11 Sprawa C-652/22, Kolin İnİaat Turizm Sanayi ve Ticaret Aű przeciwko Państwowej Komisji Nadzoru nad Procedurami Zamówień Publicznych; Sprawa C-266/22, CRRC Qingdao Sifang Co. Ltd i Astra Vagoane Călători SA przeciwko Autoritatea pentru Reformă Feroviară i Alstom Ferroviaria SpA.</w:t>
      </w:r>
    </w:p>
    <w:p>
      <w:r>
        <w:rPr>
          <w:sz w:val="16"/>
        </w:rPr>
        <w:t>12 Różnica w kosztach przedstawiona w ocenie skutków finansowych regulacji i w ocenie skutków wynika z faktu, że ocena skutków finansowych regulacji obejmuje wszystkie koszty, podczas gdy ocena skutków uwzględnia jedynie dodatkowe koszty wprowadzone w ramach środków z zakresu polityki oprócz tzw. zwykłych kosztów. Istnieją również niewielkie różnice w klasyfikacji i prezentacji kosztów wynikające z wymogów rozporządzenia finansowego.</w:t>
      </w:r>
    </w:p>
    <w:p>
      <w:r>
        <w:t>PARLAMENT EUROPEJSKI I RADA UNII EUROPEJSKIEJ,</w:t>
      </w:r>
    </w:p>
    <w:p>
      <w:r>
        <w:t>Uwzględniając Traktat o funkcjonowaniu Unii Europejskiej, w szczególności jego art. 114,</w:t>
      </w:r>
    </w:p>
    <w:p>
      <w:r>
        <w:t>Uwzględniając wniosek Komisji Europejskiej,</w:t>
      </w:r>
    </w:p>
    <w:p>
      <w:r>
        <w:t>Po przekazaniu projektu aktu ustawodawczego parlamentom narodowym,</w:t>
      </w:r>
    </w:p>
    <w:p>
      <w:r>
        <w:t>Uwzględniając opinię Europejskiego Komitetu Ekonomiczno-Społecznego,</w:t>
      </w:r>
    </w:p>
    <w:p>
      <w:r>
        <w:t>Uwzględniając opinię Komitetu Regionów,</w:t>
      </w:r>
    </w:p>
    <w:p>
      <w:r>
        <w:t>Stanowiąc zgodnie ze zwykłą procedurą ustawodawczą,</w:t>
      </w:r>
    </w:p>
    <w:p>
      <w:r>
        <w:t>Mając na uwadze:</w:t>
      </w:r>
    </w:p>
    <w:p>
      <w:r>
        <w:t>(1) Udzielanie zamówień publicznych i koncesji przez organy państw członkowskich lub w ich imieniu musi być zgodne z zasadami określonymi w Traktacie o funkcjonowaniu Unii Europejskiej („Traktat”), a w szczególności z zasadą swobodnego przepływu towarów, swobody przedsiębiorczości oraz swobody świadczenia usług, a także z zasadami, które się z nich wywodzą, takimi jak zasada równego traktowania, zasada niedyskryminacji, zasada wzajemnego uznawania, zasada proporcjonalności oraz zasada przejrzystości. W przypadku postępowań o udzielenie zamówienia publicznego i koncesji powyżej określonej wartości pieniężnej konieczne jest ustanowienie zharmonizowanych przepisów dotyczących postępowań o udzielenie zamówienia, aby wyeliminować przeszkody w funkcjonowaniu rynku wewnętrznego i zapobiec powstawaniu nowych w postaci rozbieżności regulacyjnych między państwami członkowskimi, w tym w odniesieniu do realizacji strategicznych celów polityki. Ocena obowiązujących dyrektyw Parlamentu Europejskiego i Rady 2014/23/UE[1], 2014/24/UE[2] i 2014/25/UE[3] z 2014 r. potwierdziła, że obecne przepisy dotyczące zamówień publicznych wykazują znaczne niedociągnięcia. Stwierdzono, że ich złożoność i brak elastyczności powodują znaczną niepewność prawa zarówno dla nabywców publicznych, jak i wykonawców. Nadal przeważają zamówienia oparte wyłącznie na cenie, a stopień spełnienia wymogów społecznych, środowiskowych i innowacyjnych jest nadal ograniczony. Przepisy dotyczące dostępu do rynku dla przedsiębiorstw spoza UE są niejasne i nie odpowiadają już skutecznie dzisiejszym realiom geopolitycznym. Rozdrobnione systemy e-zamówień uniemożliwiają właściwą przejrzystość oraz skuteczne monitorowanie i nadzór, a pomimo poprawy przejrzystości, luk w danych i problemów z jakością zarówno na szczeblu unijnym, jak i krajowym utrudniają skuteczne zarządzanie, podejmowanie strategicznych decyzji i zapobieganie korupcji. Niniejsze rozporządzenie ma na celu sprostanie tym wyzwaniom i oczekuje się, że zapewni dalsze otwarcie zamówień publicznych na konkurencję, a jednocześnie będzie służyć jako narzędzie efektywnych inwestycji publicznych zgodnie z szerszymi celami polityki UE. Obowiązki wynikające z innych przepisów Unii nadal mają zastosowanie i pozostają nienaruszone.</w:t>
      </w:r>
    </w:p>
    <w:p>
      <w:r>
        <w:t>(2) Niniejsze rozporządzenie ma ustanowić przepisy dotyczące postępowań o udzielenie zamówienia publicznego i koncesji przekraczających określone progi. W odniesieniu do zamówień nieobjętych niniejszym rozporządzeniem państwa członkowskie zachowują swobodę regulowania udzielania takich zamówień pod warunkiem zapewnienia przestrzegania wszelkich mających zastosowanie przepisów Unii, w tym zasad Traktatu w przypadku zainteresowania transgranicznego. W niniejszym rozporządzeniu ustanawia się przepisy proceduralne dotyczące udzielania zamówień i koncesji objętych niniejszym rozporządzeniem, a także związane z zamówieniami aspekty planowania i realizacji tych zamówień, określa się sposób uwzględniania szerszych celów polityki oraz ustanawia się ramy wspólnego ekosystemu cyfrowego, który ma być wykorzystywany przy ich planowaniu, udzielaniu i wdrażaniu, a także mechanizmy i wymogi zapewniające skuteczność i rozliczalność zamówień publicznych. Niniejsze rozporządzenie nie powinno natomiast regulować ogólnego otoczenia administracyjnego, w którym odbywają się te postępowania o udzielenie zamówienia publicznego. W związku z tym przepisy krajowe dotyczące funkcjonowania i organizacji administracji publicznej w ogóle, w szczególności te odnoszące się do kontroli budżetowej i finansowej oraz do struktur decyzyjnych w ramach administracji publicznej, pozostają niezmienione. Pozostaje to również bez wpływu na krajowe prawo cywilne i ogólne przepisy dotyczące stosunków umownych, które stanowią część szerszych krajowych ram prawnych, w których będą obowiązywać przepisy określone w niniejszym rozporządzeniu.</w:t>
      </w:r>
    </w:p>
    <w:p>
      <w:r>
        <w:t>(3) Należy przypomnieć, że żaden przepis niniejszego rozporządzenia nie zobowiązuje państw członkowskich do zlecania na zewnątrz lub zlecania na zewnątrz świadczenia usług, które chcą świadczyć samodzielnie lub organizować w sposób inny niż w drodze zamówień publicznych w rozumieniu niniejszego rozporządzenia. Świadczenie usług w oparciu o przepisy ustawowe, wykonawcze lub umowy o pracę nie powinno być objęte zakresem niniejszej dyrektywy. W niektórych państwach członkowskich może tak być w przypadku niektórych usług administracyjnych i rządowych, takich jak usługi wykonawcze i ustawodawcze, świadczenie niektórych usług na rzecz społeczności, takich jak usługi w zakresie spraw zagranicznych lub wymiaru sprawiedliwości lub obowiązkowe usługi zabezpieczenia społecznego.</w:t>
      </w:r>
    </w:p>
    <w:p>
      <w:r>
        <w:t>(4) Niniejsze rozporządzenie nie powinno mieć wpływu na ustawodawstwo państw członkowskich dotyczące zabezpieczenia społecznego ani nie powinno dotyczyć liberalizacji usług świadczonych w ogólnym interesie gospodarczym, zastrzeżonych dla podmiotów publicznych lub prywatnych, ani prywatyzacji podmiotów publicznych świadczących usługi. Państwa członkowskie mają swobodę organizowania świadczenia obowiązkowych usług społecznych lub innych usług albo jako usług świadczonych w ogólnym interesie gospodarczym, albo jako usług o charakterze niegospodarczym świadczonych w interesie ogólnym, albo jako połączenia tych usług. Usługi o charakterze niegospodarczym świadczone w interesie ogólnym nie powinny wchodzić w zakres niniejszego rozporządzenia.</w:t>
      </w:r>
    </w:p>
    <w:p>
      <w:r>
        <w:t>(5) Decyzją Rady 94/800/WE[4] zatwierdzono między innymi zawarcie w imieniu Unii Porozumienia w sprawie zamówień rządowych (zwanego dalej „Porozumieniem GPA”) w ramach Światowej Organizacji Handlu. GPA ustanawia wielostronne ramy zrównoważonych praw i obowiązków związanych z zamówieniami publicznymi w celu osiągnięcia liberalizacji i rozwoju handlu światowego. W przypadku zamówień objętych załącznikami 1, 2, 4 i 5 oraz uwagami ogólnymi do dodatku I Unii do GPA, a także innymi odpowiednimi umowami międzynarodowymi, którymi związana jest Unia, nabywcy publiczni powinni, w celu wypełnienia zobowiązań wynikających z tych umów, stosować niniejsze rozporządzenie do wykonawców z państw trzecich będących stronami tych umów. Wszystkie nowe elementy wprowadzone w niniejszym rozporządzeniu opracowano z myślą o zapewnieniu pełnej zgodności ze zobowiązaniami Unii wynikającymi z GPA.</w:t>
      </w:r>
    </w:p>
    <w:p>
      <w:r>
        <w:t>(6) Progi ustanowione w niniejszym rozporządzeniu powinny służyć do określenia zamówień i koncesji, do których ma zastosowanie pełny zestaw unijnych przepisów dotyczących zamówień publicznych. Progi te powinny nadal odzwierciedlać międzynarodowe zobowiązania Unii wynikające z GPA, przy jednoczesnym zapewnieniu pewności prawa i wykonalności administracyjnej. Aby zapewnić spójność z międzynarodowymi zobowiązaniami Unii wynikającymi z GPA, progi mające zastosowanie do zamówień publicznych należy dostosować do progów wyrażonych w specjalnych prawach ciągnienia (SDR) określonych przez Międzynarodowy Fundusz Walutowy, a zatem należy je okresowo korygować w oparciu o średnią wartość euro w stosunku do SDR. Oprócz tych okresowych dostosowań matematycznych Komisja zbada wraz z partnerami GPA kwestię podwyższenia progów określonych w GPA.</w:t>
      </w:r>
    </w:p>
    <w:p>
      <w:r>
        <w:t>(7) Aby zapewnić właściwe funkcjonowanie unijnego rynku wewnętrznego zamówień publicznych, zamówienia publiczne powinny opierać się na zasadzie najlepszej jakości w stosunku do środków publicznych, a tym samym służyć celowi, jakim są efektywne wydatki i inwestycje publiczne, a nabywcy publiczni powinni traktować wykonawców pochodzących z Unii, z państwa trzeciego będącego stroną GPA lub z strony trzeciej, która zawarła dwustronną lub wielostronną umowę handlową z Unią, na warunkach określonych w tej umowie, w sposób równy i niedyskryminujący, działając w sposób przejrzysty i proporcjonalny. Nabywcy publiczni powinni również wprowadzić odpowiednie środki w celu zagwarantowania rzetelności, bezstronności i uczciwości postępowania o udzielenie zamówienia i nie powinni planować swoich zamówień w taki sposób, aby wyłączyć je z zakresu stosowania niniejszego rozporządzenia lub nadmiernie ograniczyć konkurencję. Poszanowanie tych zasad ma zasadnicze znaczenie dla zagwarantowania skutecznej konkurencji, zniesienia barier w dostępie do rynku i zapobiegania im oraz pomocy w zapewnieniu skutecznych inwestycji publicznych.</w:t>
      </w:r>
    </w:p>
    <w:p>
      <w:r>
        <w:t>(8) Zamówienia publiczne stanowią kluczowy instrument realizacji strategicznych celów polityki Unii. Konieczne jest uregulowanie strategicznego wykorzystania zamówień publicznych, aby uniknąć sytuacji, w której rozbieżne praktyki nabywców publicznych w całej Unii tworzą przeszkody dla rynku wewnętrznego. Postępowania o udzielenie zamówienia publicznego powinny opierać się na celach polityki Unii, w tym na wzmocnieniu konkurencyjności rynku wewnętrznego, wspieraniu innowacji i czystej bazy przemysłowej, osiągnięciu celów klimatycznych i środowiskowych, sprawiedliwym i integracyjnym społeczeństwie, w szczególności sprawiedliwych warunkach pracy, w tym wspieranych przez dialog społeczny, oraz zwiększeniu bezpieczeństwa, ochrony, odporności i bezpieczeństwa gospodarczego Unii, w tym poprzez strategiczną niezależność. Biorąc pod uwagę różnorodność systemów krajowych i szanując autonomię partnerów społecznych, nabywcy publiczni mogą wykorzystywać społecznie odpowiedzialne zamówienia publiczne do wspierania wysokiej jakości miejsc pracy i sprawiedliwości społecznej, w tym poprzez uznanie roli rokowań zbiorowych.</w:t>
      </w:r>
    </w:p>
    <w:p>
      <w:r>
        <w:t>(9) Należy utrzymać przepisy dotyczące udzielania zamówień przez podmioty działające w sektorach użyteczności publicznej wody, energii, w tym gazu, rozumianego jako gaz ziemny lub każdy inny gaz, transport i usługi pocztowe, ponieważ organy krajowe nadal mogą kierować zachowaniem tych podmiotów lub istnieniem praw specjalnych lub wyłącznych. Podmioty zamawiające powinny być wyłączone z zakresu stosowania niniejszego rozporządzenia, jeżeli prowadzona przez nie działalność bezpośrednio podlega konkurencji na rynkach, do których dostęp nie jest ograniczony. To, czy dany sektor lub jego części bezpośrednio podlegają konkurencji, należy oceniać w odniesieniu do konkretnego obszaru, na którym prowadzona jest dana działalność lub jej części. Tak zwany „właściwy rynek geograficzny” oznacza albo terytorium państwa członkowskiego, albo jego części. Pojęcie „właściwego rynku geograficznego” powinno opierać się na podobnych kryteriach określonych w innych przepisach Unii.</w:t>
      </w:r>
    </w:p>
    <w:p>
      <w:r>
        <w:t>(10) Na wniosek państwa członkowskiego lub podmiotu zamawiającego Komisja powinna ocenić bezpośrednie podleganie konkurencji. Aby zapewnić łatwy dostęp do procedury ustalania, że niniejsze rozporządzenie nie ma zastosowania do określonej działalności, należy wyjaśnić, że decyzję o zwolnieniu można podjąć już na etapie przygotowawczym przed faktycznym złożeniem formalnego wniosku, w sytuacjach gdy informacje już dostępne Komisji umożliwiają jej stwierdzenie, że warunki zwolnienia danej działalności zostały spełnione. Ponadto, aby ułatwić ocenę Komisji na etapie formalnym, lepiej jest, aby do wniosków o zwolnienie dołączano lub włączano uzasadnione i poparte dowodami niedawne stanowisko w sprawie sytuacji konkurencyjnej w danym sektorze, przyjęte przez niezależny organ krajowy właściwy w odniesieniu do danej działalności lub do stosowania reguł konkurencji, lub obu tych rodzajów stanowisk. W przypadku gdy okoliczności, które stanowią podstawę aktu wykonawczego stwierdzającego, że niniejsze rozporządzenie nie ma zastosowania do określonego działania, ulegają istotnej zmianie, taki akt wykonawczy może zostać zmieniony, poprawiony lub uchylony.</w:t>
      </w:r>
    </w:p>
    <w:p>
      <w:r>
        <w:t>(11) Aby poprawić dostęp do możliwości rynkowych w zamówieniach publicznych i zwiększyć konkurencję w zakresie udzielania zamówień, należy jeszcze bardziej ułatwić udział grup wykonawców. Ma to szczególne znaczenie dla mikroprzedsiębiorstw oraz małych i średnich przedsiębiorstw (MŚP), które często napotykają trudności w dostępie do większych możliwości w zakresie zamówień publicznych. W związku z tym przepisy dotyczące wykonawców uczestniczących wspólnie w postępowaniu o udzielenie zamówienia powinny być jasne i proste, przy jednoczesnym zapewnieniu, aby nakładane były jedynie wymogi, które są niezbędne i proporcjonalne do właściwego wykonania zamówienia.</w:t>
      </w:r>
    </w:p>
    <w:p>
      <w:r>
        <w:t>(12) Podwykonawstwo części zamówienia pozostaje praktycznym i potężnym narzędziem współpracy między wykonawcami. Przepisy dotyczące podwykonawstwa określone w niniejszym rozporządzeniu powinny chronić swobodę zawierania umów i ułatwiać dostęp MŚP, umożliwiając im skuteczny udział w zamówieniach publicznych i powiązanych łańcuchach dostaw. Podwykonawstwo całości zamówienia nie powinno być jednak dozwolone na mocy niniejszego rozporządzenia, w szczególności w celu uniknięcia niewłaściwego wykorzystywania podwykonawstwa, zwłaszcza w sektorach, które mogą być bardziej narażone na wyzysk pracowników ze względu na presję kosztową i złożone łańcuchy podwykonawców. Aby zapewnić większą przejrzystość podwykonawstwa, nabywcy publiczni powinni wymagać od oferentów wskazania planowanego udziału podwykonawstwa i proponowanych podwykonawców. W przypadkach przewidzianych w prawie krajowym nabywcy publiczni powinni mieć możliwość wymagania od głównego wykonawcy, po udzieleniu zamówienia i przed jego wykonaniem, aby informował ich o zadaniach, które mają zostać zlecone podwykonawcom, oraz o tożsamości podwykonawców poza przypadkami przewidzianymi w niniejszym rozporządzeniu. Przepisy dotyczące podwykonawstwa zawarte w niniejszym rozporządzeniu pozostają bez wpływu na obowiązujące przepisy w dziedzinie zatrudnienia i ochrony socjalnej mające zastosowanie na szczeblu unijnym i krajowym, w szczególności w odniesieniu do obowiązków, zakresu odpowiedzialności i odpowiedzialności pracodawców w całym łańcuchu podwykonawców.</w:t>
      </w:r>
    </w:p>
    <w:p>
      <w:r>
        <w:t>(13) Przedsiębiorcy powinni zostać wykluczeni z udziału w postępowaniach, w których zostali skazani prawomocnym wyrokiem za niektóre poważne przestępstwa. Tak zwane środki samonaprawcze nie powinny być dozwolone w przypadku obowiązkowych wykluczeń, natomiast w przypadku opcjonalnych wykluczeń, które są związane z wiarygodnością wykonawców, powinni oni mieć możliwość obalenia istnienia podstawy wykluczenia, która chroni ich prawo do bycia wysłuchanym, lub wykazania ich wiarygodności za pomocą środków samonaprawczych. W tym kontekście należy odpowiednio uwzględnić wszelką współpracę z organami prowadzącymi dochodzenie mającą na celu wyjaśnienie istotnych faktów i okoliczności. Na przykład w sprawach dotyczących naruszenia reguł konkurencji taka współpraca może przybrać formę udziału w programie łagodzenia kar lub postępowaniu ugodowym przed Komisją lub krajowym organem ochrony konkurencji. W szczególności przyznanie zwolnienia z grzywien w ramach programu łagodzenia kar powinno co do zasady stanowić mocny dowód wykazujący wiarygodność wykonawcy pomimo istnienia podstawy wykluczenia. Państwa członkowskie nie powinny dodawać innych podstaw wykluczenia opartych na kryteriach związanych z sytuacją zawodową oferenta.</w:t>
      </w:r>
    </w:p>
    <w:p>
      <w:r>
        <w:t>(14) Kryteria kwalifikacji powinny pozostać ograniczone do tego, co jest konieczne do zapewnienia, aby wykonawca posiadał zdolność techniczną, zawodową, prawną i finansową do realizacji zamówienia, tak aby zapewnić jak najszerszy dostęp do zamówień publicznych, w szczególności dla MŚP. Nabywcy publiczni nie powinni wymagać wcześniejszego doświadczenia w zamówieniach publicznych jako takich, chyba że jest to ściśle uzasadnione złożonością zamówienia lub charakterem danego przedmiotu zamówienia, a także powinni unikać nadmiernych wymogów finansowych, które mogą niepotrzebnie wykluczać MŚP i nowsze podmioty wchodzące na rynek z możliwości udzielania zamówień.</w:t>
      </w:r>
    </w:p>
    <w:p>
      <w:r>
        <w:t>(15) Aby uprościć i zmodernizować weryfikację kwalifikowalności wykonawców w postępowaniach o udzielenie zamówienia publicznego, elektroniczna usługa kwalifikowalności powinna stanowić główny środek dowodowy potwierdzający brak podstaw wykluczenia, zgodność z kryteriami kwalifikacji oraz, w stosownych przypadkach, spełnienie wymogów związanych z pochodzeniem. Stosowane w tym kontekście cyfrowe narzędzie do wydawania poświadczeń biznesowych powinno umożliwiać wyszukiwanie ustrukturyzowanych dowodów z odpowiednich krajowych i unijnych baz danych, które powinny być połączone z elektroniczną usługą kwalifikowalności, aby w miarę możliwości umożliwić stosowanie automatycznych weryfikacji. W przypadku gdy weryfikacje opierają się na danych osobowych, prawo krajowe i prawo Unii powinny obejmować odpowiednie zabezpieczenia mające na celu ograniczenie ryzyka dla osób fizycznych, w tym przepisy dotyczące tego, kto może uzyskać dostęp do danych i mieć do nich wgląd, a także ograniczenie dostępu wyłącznie do takich danych, które są niezbędne do uzyskania dostępu w zakresie niniejszego rozporządzenia. Osoby fizyczne powinny mieć również możliwość dokonania przeglądu wyników weryfikacji przed przekazaniem ich nabywcy publicznemu.</w:t>
      </w:r>
    </w:p>
    <w:p>
      <w:r>
        <w:t>(16) Nabywców publicznych należy zachęcać do przeprowadzania konsultacji rynkowych przed rozpoczęciem postępowań o udzielenie zamówienia w celu lepszego zrozumienia dostępnych rozwiązań rynkowych, dojrzałości i struktury rynków dostaw oraz potencjalnych ograniczeń strategicznych lub operacyjnych.</w:t>
      </w:r>
    </w:p>
    <w:p>
      <w:r>
        <w:t>(17) Negocjacje mogą umożliwić nabywcom publicznym poprawę jakości, efektywności i ogólnej wartości zamawianego rozwiązania, zwłaszcza gdy przedmiot zamówienia wymaga dostosowania do potrzeb operacyjnych lub wyważenia względów strategicznych. Możliwość negocjowania rozwiązań przy sukcesywnym zmniejszaniu liczby wykonawców w postępowaniu ma na celu osiągnięcie szerokiego dostępu do konkurencji z możliwością dopracowania rozwiązań i warunków umownych przez nabywcę publicznego w drodze negocjacji, jeżeli sprzyja to osiągnięciu najlepszej jakości za pieniądze. Jednocześnie konieczne jest wyjaśnienie, że prowadzenie negocjacji powinno nadal podlegać zabezpieczeniom zapewniającym równe traktowanie, proporcjonalność i ochronę szczególnie chronionych informacji handlowych. W związku z tym negocjacje powinny dotyczyć wyłącznie innych niż istotne cech robót budowlanych, usług i dostaw, które mają zostać zakupione; nabywcy publiczni powinni wyraźnie wskazać wszystkie niezbywalne elementy, które z kolei powinny obejmować zasadnicze warunki zamówienia, które mają decydujące znaczenie dla decyzji wykonawców o udziale w postępowaniu.</w:t>
      </w:r>
    </w:p>
    <w:p>
      <w:r>
        <w:t>(18) Należy ustanowić nową, prostą i elastyczną procedurę otwartą, która umożliwi każdemu zainteresowanemu wykonawcy wyrażenie zainteresowania i złożenie oferty i w której stosowanie negocjacji i kryteriów kwalifikacji pozostaje fakultatywne dla nabywcy publicznego. Procedura otwarta powinna zapewnić nabywcom publicznym możliwość podjęcia decyzji o niestosowaniu kryteriów kwalifikacji, jeżeli nie jest to konieczne do zapewnienia dobrych wyników zamówień publicznych, a tym samym zniesienia jednego z głównych obciążeń dla udziału MŚP w zamówieniach publicznych.</w:t>
      </w:r>
    </w:p>
    <w:p>
      <w:r>
        <w:t>(19) Należy ustanowić nową procedurę dynamiczną, aby zapewnić nabywcom publicznym łatwe w użyciu, szybkie i elastyczne narzędzie do udzielania zamówień u wstępnie utworzonej bazy dostawców poprzez docieranie, przed udzieleniem poszczególnych zamówień, do wszystkich zainteresowanych wykonawców dostępnych do wykonania zamówienia w całym okresie jego ważności. Negocjacje i stosowanie kryteriów kwalifikacji powinny być opcjonalne dla nabywców publicznych, podobnie jak w procedurze otwartej. Wykonawcy powinny mieć możliwość wyrażenia zainteresowania w prosty i prosty sposób, po prostu poprzez udostępnienie swojego profilu kwalifikowalności nabywcy publicznemu za pośrednictwem elektronicznej usługi kwalifikowalności. Ze względu na potencjalnie dużą liczbę wykonawców zainteresowanych dynamicznymi procedurami oraz w celu zapewnienia skuteczności administracyjnej i zagwarantowania sprawiedliwości nabywcy publiczni powinni mieć możliwość, w przypadku gdy liczba zainteresowanych dostawców przekracza określony poziom, zaproszenia jedynie ograniczonej liczby dostawców. Wybór wykonawców zaproszonych do składania ofert lub do negocjacji powinien odbywać się w drodze losowego, niezróżnicowanego określenia algorytmicznego lub, w przypadkach gdy dopuszczenie do procedury w pierwszej kolejności odbywa się na podstawie kryteriów kwalifikacji, bez dalszego wyboru albo na podstawie obiektywnych, niedyskryminacyjnych kryteriów wskazanych w publicznym podsumowaniu dotyczącym konkurencji.</w:t>
      </w:r>
    </w:p>
    <w:p>
      <w:r>
        <w:t>(20) Organy publiczne w coraz większym stopniu stoją w obliczu złożonych wyzwań społecznych, które wymagają innowacyjnego i opartego na współpracy podejścia wykraczającego poza tradycyjne praktyki w zakresie zamówień publicznych. Nabywcy publiczni powinni mieć możliwość współtworzenia innowacyjnych rozwiązań, które skuteczniej zaspokajają potrzeby publiczne, w drodze procedury konkurencyjnej, w której wykonawcy są zachęcani do opracowywania rozwiązań opartych na wyzwaniach społecznych wskazanych przez nabywcę publicznego. Opracowywanie tych rozwiązań powinno odbywać się na różnych etapach, w tym na etapie konsultacji rynkowych, wyboru innowacyjnych propozycji rozwiązań, testowania i walidacji oraz oceny propozycji, a także komercyjnego zakupu rozwiązania, które nabywcy publiczni powinni mieć możliwość nabyć bezpośrednio od tego samego wykonawcy.</w:t>
      </w:r>
    </w:p>
    <w:p>
      <w:r>
        <w:t>(21) Procedura ta umożliwia nabywcom publicznym zakup rozwiązania, które nie zostało jeszcze opracowane, i obejmuje w ramach tej samej procedury badania i rozwój tego rozwiązania, a także wszystkie etapy prowadzące do zakupu komercyjnego i obejmujące ten zakup. Procedura innowacyjna obejmuje pełny cykl zamówień publicznych na innowacje, być może od bardzo wczesnych etapów badań, przy czym przedmiotem zamówienia jest zakup rozwiązania, które nie zostało jeszcze opracowane. Różni się on zatem znacznie od zamówień na usługi badawczo-rozwojowe, które obejmują zamówienia przedkomercyjne, których przedmiotem nie jest zakup rozwiązania końcowego, lecz usługi badawczo-rozwojowe. W przeciwieństwie do procedury innowacyjnej zamówienia na usługi badawczo-rozwojowe nie obejmują zatem komercyjnego zastosowania produktu końcowego, który nie został jeszcze opracowany. Usługi badawcze i rozwojowe, w tym zamówienia przedkomercyjne, są regulowane [europejskim aktem o innowacjach] i należy je wyłączyć z zakresu stosowania niniejszego rozporządzenia, aby uniknąć powielania działań. To wyłączenie zamówień na usługi badawcze i rozwojowe obejmuje zamówienia na usługi badawcze i rozwojowe jako takie i nie obejmuje elementów badań i rozwoju, które są częścią nowej procedury innowacyjnej.</w:t>
      </w:r>
    </w:p>
    <w:p>
      <w:r>
        <w:t>(22) Udzielanie zamówień publicznych bez uprzedniej konkurencji powinno pozostać ściśle wyjątkowe i uzasadnione tylko wtedy, gdy konkurencja jest obiektywnie niemożliwa lub ewidentnie niewłaściwa i gdy dodatkowa elastyczność nie jest wykorzystywana do obchodzenia ogólnych zasad przejrzystości, równego traktowania i zdrowej konkurencji. W sytuacjach nadzwyczajnych, kryzysowych lub w przypadku poważnych zagrożeń transgranicznych nabywcy publiczni mogą być zmuszeni do szybkiego udzielania zamówień w celu zapewnienia ciągłości usług kluczowych, reagowania na pilne potrzeby publiczne lub ochrony zdrowia i bezpieczeństwa publicznego. Nabywcy publiczni powinni zatem mieć możliwość korzystania z uproszczonego mechanizmu zamówień bezpośrednich, bez uszczerbku dla innych unijnych instrumentów regulujących wspólne udzielanie zamówień lub reagowanie kryzysowe.</w:t>
      </w:r>
    </w:p>
    <w:p>
      <w:r>
        <w:t>(23) Art. 11 Traktatu wymaga, aby wymogi ochrony środowiska były uwzględniane przy opracowywaniu i realizacji polityk i działań Unii. Należy zatem rozwijać polityki Unii z myślą o promowaniu w szczególności celów w zakresie łagodzenia zmiany klimatu i przystosowywania się do niej, w tym redukcji emisji, zrównoważonego wykorzystywania i ochrony zasobów wodnych i morskich, przejścia na gospodarkę o obiegu zamkniętym, zapobiegania zanieczyszczeniom i ich kontroli oraz ochrony i odbudowy różnorodności biologicznej i ekosystemów. Zielone zamówienia publiczne powinny również przyczyniać się do rozwoju rynków pionierskich dla zrównoważonych bioproduktów i rozwiązań, zgodnie ze strategią dotyczącą biogospodarki. Konieczne jest wyjaśnienie, w jaki sposób nabywcy publiczni mogą przyczynić się do osiągnięcia takich celów, przy jednoczesnym zapewnieniu, aby uzyskali oni najlepszą jakość za daną cenę, a wszelkie warunki pozostały związane z przedmiotem zamówienia. Horyzontalne wymogi dotyczące zrównoważenia środowiskowego, które były wcześniej przewidziane w przepisach sektorowych, w szczególności w zakresie efektywności energetycznej i przejścia na gospodarkę o bardziej zamkniętym obiegu, należy ustanowić w niniejszym rozporządzeniu jako wymogi dotyczące zielonych zamówień publicznych, przy jednoczesnym zachowaniu podstawowej treści wymogów, które były wcześniej przewidziane w przepisach sektorowych. Aby zmniejszyć obciążenie administracyjne i ułatwić korzystanie z zielonych zamówień publicznych, nabywcy publiczni powinni mieć możliwość korzystania z istniejących wymogów i kryteriów środowiskowych opracowanych na szczeblu Unii, takich jak techniczne kryteria kwalifikacji określone w rozporządzeniu.</w:t>
      </w:r>
    </w:p>
    <w:p>
      <w:r>
        <w:t>(UE) 2020/852 lub dobrowolnych kryteriów UE dotyczących zielonych zamówień publicznych opracowanych przez Komisję.</w:t>
      </w:r>
    </w:p>
    <w:p>
      <w:r>
        <w:t>(24) W świetle kluczowej roli odpornych systemów żywnościowych w zapewnianiu bezpieczeństwa żywnościowego i ochronie zdrowia publicznego w niniejszym rozporządzeniu uznaje się znaczenie kwestii związanych ze zrównoważonym rozwojem gospodarczym, klimatycznym, środowiskowym i społecznym w zamówieniach publicznych na żywność. Te kwestie dotyczące żywności mogą obejmować, w zakresie, w jakim są związane z przedmiotem zamówienia, uczciwość i przejrzystość w łańcuchach dostaw żywności, metody produkcji ekologicznej, systemy jakości, wartość odżywczą i skutki dla zdrowia, świeżość i sezonowość, organizację łańcuchów dostaw żywności lub dobrostan zwierząt. Może to odegrać ważną rolę w przybliżaniu konsumentów, zwłaszcza w placówkach takich jak szkoły i szpitale, do zrównoważonej produkcji żywności. Ze względu na bardzo ograniczony wymiar transgraniczny zamówienia na usługi związane z dystrybucją żywności, takie jak usługi stołówkowe, usługi gastronomiczne, usługi w zakresie posiłków szkolnych, usługi restauracyjne i usługi w zakresie posiłków na kołach, podlegają procedurze bezpośredniego udzielania zamówień, w ramach której nabywcy publiczni mają dużą swobodę w uwzględnianiu i uwzględnianiu kwestii związanych z żywnością.</w:t>
      </w:r>
    </w:p>
    <w:p>
      <w:r>
        <w:t>(25) W przypadku niektórych produktów lub rodzin produktów, w odniesieniu do których w przepisach Unii ustanowiono wymogi środowiskowe i przewidziano uprawnienia Komisji do zapisania szczegółowych przepisów dotyczących nabywców publicznych w tym zakresie, należy skonsolidować te uprawnienia w niniejszym rozporządzeniu, które powinno zatem przewidywać uprawnienie horyzontalne obejmujące przedmiotowe produkty. Zgodnie z logiką prawodawstwa sektorowego uprawnienie to powinno umożliwić Komisji ustanowienie w razie potrzeby szczegółowych wymogów dotyczących zielonych zamówień publicznych w odniesieniu do objętych nimi produktów, aby uniknąć fragmentacji rynku wewnętrznego i zwiększyć popyt na niektóre produkty. Uprawnienie to powinno umożliwić Komisji przyjmowanie aktów delegowanych w razie potrzeby, aby w pełni zachować treść przepisów zawartych wcześniej w prawodawstwie sektorowym, takich jak przepisy dotyczące efektywności energetycznej opon.</w:t>
      </w:r>
    </w:p>
    <w:p>
      <w:r>
        <w:t>(26) Aby ułatwić i umożliwić nabywcom publicznym uwzględnianie kwestii społecznych, w stosownych przypadkach związanych z przedmiotem zamówienia i zgodnie z zasadami regulującymi zamówienia publiczne, w niniejszym rozporządzeniu połączono, w specjalnym rozdziale poświęconym kwestiom społecznym, cele społeczne UE o charakterze horyzontalnym. Cele te obejmują włączenie społeczne, wysokiej jakości miejsca pracy i godne warunki pracy, dostępność dla osób z niepełnosprawnościami, równouprawnienie płci i niedyskryminację, szkolenia, promowanie gospodarki społecznej, o której mowa w zaleceniu Rady C/2023/1344[5], oraz skuteczną ochronę praw człowieka w odpowiednich łańcuchach dostaw. Należy podkreślić, że Unia uznaje i wspiera rolę partnerów społecznych na swoim poziomie, uwzględniając różnorodność systemów krajowych. Wymogi dostępności powinny nadal mieć charakter obowiązkowy w przypadku zamówień publicznych na towary, usługi i roboty budowlane przeznaczone do użytku osób fizycznych.</w:t>
      </w:r>
    </w:p>
    <w:p>
      <w:r>
        <w:t>(27) Wykorzystując publiczną siłę nabywczą do szybkiego wprowadzania na rynek i rozwoju innowacyjnych rozwiązań, organy publiczne mogą pomóc w zniwelowaniu luki innowacyjnej i ułatwić przejście od ograniczonej pierwszej produkcji do testowania i walidacji do komercjalizacji. Takie podejście może przyczynić się do zwiększenia wydajności, poprawy dostępu do rynku dla MŚP, takich jak innowacyjne przedsiębiorstwa typu start-up i scale-up.</w:t>
      </w:r>
    </w:p>
    <w:p>
      <w:r>
        <w:t>(28) W budownictwie, na które przypada około 30 % wartości udzielonych zamówień publicznych, innowacje są wspierane poprzez wykorzystanie modelowania informacji o budynku.</w:t>
      </w:r>
    </w:p>
    <w:p>
      <w:r>
        <w:t>(BIM) jako standardowe podejście do zamówień publicznych i realizacji projektów. Wykorzystanie otwartych technologii cyfrowych BIM zmniejsza ryzyko związane z projektami i umożliwia bardziej efektywne procesy projektowania i budowy, a jednocześnie stale zwiększa wpływ na cele zrównoważonego rozwoju. W związku z tym nabywcy publiczni powinni co do zasady wykorzystywać je do realizacji zamówień o wysokiej wartości.</w:t>
      </w:r>
    </w:p>
    <w:p>
      <w:r>
        <w:t>(29) Zagrożenia dla bezpieczeństwa i bezpieczeństwa publicznego mogą pojawić się w wielu różnych postępowaniach o udzielenie zamówienia, w tym poza sektorem obrony i newralgicznymi sektorami bezpieczeństwa sensu stricto. Nabywcy publiczni powinni być świadomi takiego ryzyka, oceniać je i eliminować przy opracowywaniu i przeprowadzaniu postępowań o udzielenie zamówienia oraz przy realizacji zamówień.</w:t>
      </w:r>
    </w:p>
    <w:p>
      <w:r>
        <w:t>(30) Zamówienia publiczne w sektorach o kluczowym znaczeniu dla funkcjonowania społeczeństwa i gospodarki Unii, w tym w sektorach energii, transportu, zdrowia, infrastruktury cyfrowej, wody, żywności i rolnictwa oraz infrastruktury rynku finansowego, mogą powodować lub potęgować strategiczne podatności na zagrożenia, w przypadku gdy łańcuchy dostaw są skoncentrowane, nieprzejrzyste lub nadmiernie uzależnione od ograniczonej liczby podmiotów lub źródeł z państw trzecich. W przypadku gdy zamówienie publiczne ma zostać zrealizowane przez podmiot krytyczny w tych sektorach, nabywcy publiczni powinni, w stosownych przypadkach, uwzględnić w swoich zamówieniach publicznych środki dotyczące bezpieczeństwa dostaw i odporności, bez uszczerbku dla mających zastosowanie sektorowych przepisów Unii.</w:t>
      </w:r>
    </w:p>
    <w:p>
      <w:r>
        <w:t>(31) Niniejsze rozporządzenie pozostaje bez uszczerbku dla stosowania zasad pomocy państwa i konkurencji, w szczególności art. 101, 102 i 107 Traktatu o funkcjonowaniu Unii Europejskiej. Środki przewidziane w niniejszym rozporządzeniu nie powinny być wykorzystywane do ograniczania lub zakłócania konkurencji w sposób sprzeczny z Traktatem o funkcjonowaniu Unii Europejskiej.</w:t>
      </w:r>
    </w:p>
    <w:p>
      <w:r>
        <w:t>(32) Unia zawarła umowy międzynarodowe, które przewidują dostęp do jej rynków zamówień publicznych dla wykonawców i towarów, usług lub robót budowlanych z państw trzecich, w szczególności GPA i szereg umów o wolnym handlu zawierających zobowiązania dotyczące zamówień. Istnienie przyznanego dostępu do rynku zależy od rodzaju postępowania o udzielenie zamówienia, charakteru nabywcy publicznego, przedmiotu zamówienia, mających zastosowanie progów oraz szczególnych wyłączeń lub wyłączeń horyzontalnych wynegocjowanych w każdej umowie. Aby nadać skuteczność temu stopniowemu i specyficznemu dla danej procedury zakresowi, w niniejszym rozporządzeniu wprowadza się pojęcia „wykonawcy objętego niniejszą Umową” oraz „towarów, usług lub robót budowlanych objętych niniejszą Umową”, które określa się oddzielnie dla każdego postępowania o udzielenie zamówienia na podstawie międzynarodowych zobowiązań Unii mających zastosowanie do każdego poszczególnego zamówienia. Komisja powinna być uprawniona do przyjmowania aktów delegowanych w tej sprawie, zgodnie z odpowiednimi umowami międzynarodowymi, jeżeli jest to uzasadnione względami określonymi w niniejszym rozporządzeniu. W przypadku gdy kraje kandydujące zawarły z Unią umowę przewidującą dostęp do zamówień publicznych, wykonawcy, towary, usługi i roboty budowlane pochodzące z tych krajów powinni być uznawani za „wykonawców objętych niniejszą Umową” oraz „towary, usługi lub roboty budowlane objęte niniejszą Umową” do celów niniejszego rozporządzenia, zgodnie z warunkami określonymi w odpowiedniej umowie. Podejście to odzwierciedla perspektywę rozszerzenia i stopniowej integracji krajów kandydujących z rynkiem wewnętrznym Unii i ma na celu wspieranie ściślejszej integracji gospodarczej, zachęcanie do dostosowania regulacyjnego oraz wzmocnienie stosowania przepisów i norm Unii w jej bezpośrednim sąsiedztwie.</w:t>
      </w:r>
    </w:p>
    <w:p>
      <w:r>
        <w:t>(33) Zgodnie z orzecznictwem Trybunału Sprawiedliwości Unii Europejskiej, w szczególności jego wyrokami w sprawie C-652/22 (Kolin)[6] i w sprawie C-266/22 (Qingdao)[7], prawa i zasady wynikające z unijnego prawa zamówień publicznych nie obejmują wykonawców, towarów, usług lub robót budowlanych pochodzących z państw trzecich, które nie są objęte takimi zobowiązaniami międzynarodowymi. Ta sama zasada powinna mieć również zastosowanie do towarów, w tym komponentów zamawianych produktów, usług lub robót budowlanych pochodzących z takich krajów. W oparciu o tę zasadę niniejsze rozporządzenie umożliwia nabywcom publicznym stosowanie wymogów dotyczących preferencji europejskiej, zgodnie z międzynarodowymi zobowiązaniami Unii.</w:t>
      </w:r>
    </w:p>
    <w:p>
      <w:r>
        <w:t>(34) Komisja powinna być uprawniona do zamknięcia konkretnych postępowań o udzielenie zamówienia na rzecz wykonawców nieobjętych zobowiązaniami lub na towary, usługi lub roboty budowlane nieobjęte zobowiązaniami, pod warunkiem że takie zamknięcie leży w interesie Unii. Interes Unii w zamknięciu niektórych zamówień należy oceniać na podstawie oceny wszystkich istotnych interesów rozpatrywanych jako całość, w szczególności interesów gospodarczych, geopolitycznych i społecznych Unii, jej państw członkowskich i jej obywateli. Znaczenie takiego interesu Unii ilustrują sektory takie jak koleje i przemysł stoczniowy, które – jako sektory produkcyjne o charakterze podwójnego zastosowania – opierają się na infrastrukturze, aktywach ruchomych i technologiach informacyjno-komunikacyjnych (ICT) oraz systemach zarządzania ruchem, które muszą być odporne i krytyczne dla mobilności wojskowej, bezpieczeństwa i celów Unii w zakresie autonomii strategicznej. Ich strategiczne znaczenie zostało podkreślone w niedawnych inicjatywach Unii, w tym w strategii bezpieczeństwa gospodarczego UE, unijnym planie dotyczącym kolei dużych prędkości oraz unijnej strategii na rzecz przemysłu morskiego. WE wspólnym komunikacie w sprawie wzmocnienia bezpieczeństwa gospodarczego UE podkreślono również ryzyko związane z zaangażowaniem podmiotów wysokiego ryzyka we wrażliwe sektory i łańcuchy dostaw.</w:t>
      </w:r>
    </w:p>
    <w:p>
      <w:r>
        <w:t>(35) Konieczne są jasne i jednolite przepisy dotyczące określania pochodzenia, aby zapewnić skuteczne i spójne stosowanie przepisów dotyczących międzynarodowego zasięgu i preferencji europejskich we wszystkich postępowaniach o udzielenie zamówienia. W niniejszym rozporządzeniu należy zatem ustanowić reguły pochodzenia do celów stosowania określonych w nim wymogów dotyczących preferencji europejskich. W przypadku gdy prawodawstwo Unii mające zastosowanie do konkretnych sektorów wprowadza wymogi dotyczące preferencji europejskiej, zasady te powinny mieć pierwszeństwo jako lex specialis. Dotyczy to w szczególności produktów leczniczych o krytycznym znaczeniu, w przypadku których w art. [18 ust. 2] rozporządzenia (UE).../... [odniesienie zostanie dodane po przyjęciu dokumentu COM(2025) 102 final] ustanowiono obowiązkowe przepisy dotyczące faworyzowania dostawców produktów leczniczych o krytycznym znaczeniu i ich substancji czynnych wytwarzanych w Unii, które w sposób wyczerpujący regulują stosowanie preferencji europejskiej w odniesieniu do produktów leczniczych o krytycznym znaczeniu objętych zakresem tego rozporządzenia. Jednocześnie w przypadku gdy przepisy sektorowe nie przewidują warunków stosowania tych wymogów, nabywcy publiczni powinni opierać się na przepisach horyzontalnych określonych w niniejszym rozporządzeniu.</w:t>
      </w:r>
    </w:p>
    <w:p>
      <w:r>
        <w:t>(36) Niektóre umowy i koncesje udzielone na świadczenie usług publicznych w zakresie transportu objętego zakresem rozporządzenia (WE) nr 1370/2007[8] są wyłączone z zakresu stosowania niniejszego rozporządzenia. Przepisy rozdziału 4 dotyczącego „bezpieczeństwa i odporności” i rozdziału 5 dotyczącego „preferencji europejskiej” niniejszego rozporządzenia powinny mieć jednak zastosowanie do wszystkich umów i koncesji podlegających rozporządzeniu (WE) nr 1370/2007, aby zapewnić spójność w zakresie stosowania tych przepisów do wszystkich umów i koncesji, niezależnie od tego, czy podlegają one przepisom dotyczącym zamówień publicznych ustanowionym w niniejszym rozporządzeniu. Należy zatem odpowiednio zmienić rozporządzenie (WE) nr 1370/2007.</w:t>
      </w:r>
    </w:p>
    <w:p>
      <w:r>
        <w:t>(37) Przepisy horyzontalne mające zastosowanie do wszystkich postępowań o udzielenie zamówienia na podstawie niniejszego rozporządzenia powinny opierać się na dobrze znanych pojęciach z dyrektyw Parlamentu Europejskiego i Rady 2014/23/UE, 2014/24/UE i 2014/25/UE oraz na orzecznictwie Trybunału Sprawiedliwości Unii Europejskiej, modernizując i wyjaśniając je w razie potrzeby, aby lepiej osiągnąć cele określone w niniejszym rozporządzeniu, w tym w szczególności uczciwość i niedyskryminacyjną konkurencyjność postępowania o udzielenie zamówienia.</w:t>
      </w:r>
    </w:p>
    <w:p>
      <w:r>
        <w:t>(38) Należy utrzymać istniejące wyłączenia z zakresu niektórych rodzajów zamówień udzielanych przez nabywców publicznych osobom prawnym kontrolowanym przez nich lub w ramach ustaleń dotyczących współpracy publiczno-publicznej. Ponieważ zamówienia, o których mowa w tych dwóch wyłączeniach, nie wchodzą w zakres niniejszego rozporządzenia, państwa członkowskie mają swobodę wprowadzenia bardziej rygorystycznych przepisów lub otwarcia tych zamówień na konkurencję w swoim prawie krajowym. Współpraca wyłącznie między władzami lokalnymi i regionalnymi, ponieważ z mniejszym prawdopodobieństwem pociąga za sobą ryzyko zakłócenia konkurencji z wykonawcami, powinna być wyłączona z zakresu stosowania niniejszego rozporządzenia na mniej rygorystycznych warunkach. Ponadto należy również utrzymać istniejącą możliwość polegania przez podmioty zamawiające na ugruntowanych powiązaniach strukturalnych z przedsiębiorstwami powiązanymi lub wspólnymi przedsięwzięciami w celu prowadzenia określonej działalności.</w:t>
      </w:r>
    </w:p>
    <w:p>
      <w:r>
        <w:t>(39) Nadmiernie szczegółowe specyfikacje często przyczyniają się do niepotrzebnego ograniczania udziału wykonawców i hamują innowacje. Aby ułatwić funkcjonowanie konkurencyjnych rynków zamówień, specyfikacje określające cechy robót budowlanych, dostaw lub usług będących przedmiotem zamówienia powinny co do zasady być sporządzane z uwzględnieniem wymogów funkcjonalnych. Oferty wariantowe powinny być w większym stopniu stosowane w postępowaniach o udzielenie zamówienia publicznego, ponieważ mogą przyczynić się do zwiększenia konkurencji oraz wspierania innowacyjnych i opłacalnych rozwiązań. Dzięki umożliwieniu wykonawcom proponowania alternatywnych podejść nabywcy publiczni mogliby skorzystać z szerszej gamy ofert lepiej dostosowanych do ich potrzeb. Takie podejście mogłoby również przynieść korzyści MŚP, umożliwiając im zaproponowanie elastycznych, innowacyjnych lub bardziej specjalistycznych rozwiązań, które mogą różnić się od standardowych specyfikacji i lepiej odzwierciedlać ich szczególną wiedzę fachową lub modele biznesowe.</w:t>
      </w:r>
    </w:p>
    <w:p>
      <w:r>
        <w:t>(40) W celu zapewnienia niedyskryminacyjnego dostępu do zamówień niezwykle ważne jest, aby wszelkie kryteria i warunki stosowane w postępowaniach o udzielenie zamówienia pozostawały bezpośrednio lub pośrednio związane z przedmiotem zamówienia, związane z istotą zamawianych towarów, usług i robót budowlanych lub, bez związku z istotą, mające bezpośredni wpływ na te towary, usługi i roboty budowlane. Ponieważ pojęcie związku przedmiotowego było przedmiotem szkodliwych rozbieżnych interpretacji, pojęcie to należy wyjaśnić w niniejszym rozporządzeniu. Przykłady względów związanych z przedmiotem danego zamówienia mogą obejmować fakt, że przy wytwarzaniu zakupionych produktów nie stosowano toksycznych substancji chemicznych, że zakupione usługi są świadczone przy użyciu energooszczędnych maszyn lub energooszczędnych metod produkcji, że dany produkt pochodzi ze sprawiedliwego handlu, w tym wymóg zapłaty producentom ceny minimalnej i premii cenowej, że pracownikom zaangażowanym w realizację danego zamówienia zapewnia się godziwe wynagrodzenie. Warunek bezpośredniego lub pośredniego związku z przedmiotem zamówienia wyklucza kryteria i warunki dotyczące ogólnej polityki przedsiębiorstwa.</w:t>
      </w:r>
    </w:p>
    <w:p>
      <w:r>
        <w:t>(41) Znaki są cennym środkiem dowodowym, który pomaga nabywcom publicznym uwzględnić w zamówieniach publicznych kwestie środowiskowe, społeczne lub inne kwestie strategiczne. Nabywcy publiczni, którzy chcą nabyć produkty, usługi lub roboty budowlane o szczególnych cechach środowiskowych, społecznych lub innych, powinni mieć możliwość powoływania się na określone etykiety, pod warunkiem że ich wymogi są związane z przedmiotem zamówienia i spełniają określone wymogi dotyczące jakości etykiety. W przypadku gdy nabywcy publiczni podejmują decyzję o złożeniu wniosku o oznakowanie ekologiczne, powinni zwrócić się o oznakowanie ekologiczne w całym cyklu życia, zweryfikowane przez osoby trzecie i charakteryzujące się wysokim poziomem ambicji, a w przypadku przyjęcia kryteriów oznakowania ekologicznego UE dla produktu, usługi lub obiektu budowlanego powinni w pierwszej kolejności wymagać oznakowania ekologicznego UE, które jest oficjalnym dobrowolnym programem UE na rzecz doskonałości środowiskowej towarów i usług.</w:t>
      </w:r>
    </w:p>
    <w:p>
      <w:r>
        <w:t>(42) Aby wydatki publiczne stały się bardziej efektywnym narzędziem inwestycyjnym zgodnym ze strategicznymi celami polityki Unii, należy położyć większy nacisk na długoterminowe korzyści publiczne, a nie koncentrować się wyłącznie na najniższych kosztach początkowych. Umieszczenie jakości w centrum zamówień publicznych umożliwi nabywcom publicznym nabywanie robót budowlanych, dostaw i usług, które zapewniają lepsze gwarancje zaspokojenia ich potrzeb w dłuższej perspektywie, a jednocześnie służą ogólnym celom społecznym. W związku z tym zamówienia publiczne powinny co do zasady być udzielane na podstawie najlepszej relacji jakości do ceny, umożliwiającej nabywcom publicznym porównywanie ofert nie tylko pod względem ceny, ale również kryteriów jakościowych związanych z przedmiotem zamówienia, w tym, w stosownych przypadkach, aspektów środowiskowych, społecznych, związanych z innowacjami, preferencją europejską, bezpieczeństwem i odpornością, a także rachunku kosztów cyklu życia. Ocena takich kryteriów udzielenia zamówienia powinna opierać się na wystarczających zabezpieczeniach zapewniających uczciwość procesu oceny, takich jak rozdzielenie ocen cen i jakości oraz zapewnienie stosowania zasady „dwóch par oczu”, ale mogłaby również obejmować inne środki, takie jak przeprowadzanie indywidualnych ocen przed zbiorowymi obradami, utrzymywanie udokumentowanej ścieżki audytu i publikowanie wszystkich uzasadnień punktacji w odniesieniu do zamówień o wysokiej wartości. Należy zatem przewidzieć minimalną wagę wynoszącą 30 % i 50 % w przypadku zamówień pracochłonnych, przy czym 50 % powinno uwzględniać istotne względy społeczne, w odniesieniu do kryteriów jakości na etapie udzielania zamówienia, jednocześnie umożliwiając nabywcom publicznym odstąpienie od tego wymogu, w przypadku gdy jakość zamawianych robót budowlanych, dostaw lub usług można w wystarczającym stopniu zapewnić za pomocą specyfikacji, warunków realizacji zamówień lub połączenia któregokolwiek z tych instrumentów z kryteriami udzielenia zamówienia.</w:t>
      </w:r>
    </w:p>
    <w:p>
      <w:r>
        <w:t>(43) MŚP odgrywają kluczową rolę w gospodarce Unii. W związku z tym postępowania o udzielenie zamówienia należy opracowywać w sposób proporcjonalny, unikając zbędnych obciążeń administracyjnych i finansowych, aby ułatwić MŚP dostęp do zamówień publicznych, w tym jako pojedynczym bezpośrednim wykonawcom lub członkom grup wykonawców. Oczekuje się, że przeprowadzanie zamówień publicznych za pośrednictwem nowego ekosystemu cyfrowego znacznie zmniejszy bariery proceduralne i administracyjne dla MŚP, w tym wymogi dotyczące dokumentacji i rejestracji. Podział zamówień na znaczące części pozostaje jednym z głównych narzędzi ułatwiających udział MŚP w zamówieniach publicznych i dywersyfikujących bazę dostawców. W związku z tym nabywcy publiczni powinni aktywnie rozważyć podział na części w ramach procesu projektowania zamówień. W związku z istnieniem w szeregu państw członkowskich bardziej rygorystycznych systemów krajowych, które państwa członkowskie powinny móc utrzymać, państwa członkowskie powinny mieć możliwość nakładania bardziej rygorystycznych przepisów dotyczących podziału na części. Szybkie płatności, w tym za pośrednictwem łańcucha dostaw, dodatkowo przyczyniają się do zabezpieczenia i wzmocnienia sytuacji finansowej MŚP, podobnie jak płatności zaliczkowe, do których należy zatem zachęcać.</w:t>
      </w:r>
    </w:p>
    <w:p>
      <w:r>
        <w:t>(44) Aby zapewnić rzetelne procedury udzielania zamówień, które zapewniają najlepszą relację jakości do ceny, nabywcy publiczni powinni odrzucać oferty, w przypadku których nie można odpowiednio wyjaśnić rażąco niskich cen. Należy wyjaśnić okoliczności, w których oferty wydają się rażąco niskie, oraz warunki, na jakich oferenci mogą się powoływać w celu wyjaśnienia swoich cen i elementów ceny.</w:t>
      </w:r>
    </w:p>
    <w:p>
      <w:r>
        <w:t>(45) Konieczne jest również wprowadzenie jaśniejszych przepisów dotyczących niektórych aspektów związanych z etapem realizacji zamówienia, w tym płatności, ze względu na jego ścisły związek z samym postępowaniem o udzielenie zamówienia. Należy wyjaśnić, w jaki sposób nabywcy publiczni mogą stosować mechanizmy dostosowawcze podczas realizacji zamówień oraz w jaki sposób można modyfikować zamówienia, zwłaszcza w nieprzewidzianych okolicznościach. Należy wprowadzić jasny i przejrzysty mechanizm dostosowania, aby umożliwić nabywcom publicznym zmianę warunków umowy w sposób przewidywalny i proporcjonalny. Należy uprościć przepisy dotyczące modyfikacji umowy, aby umożliwić ich lepsze stosowanie w sytuacjach uzasadniających modyfikację bez przeprowadzania nowej procedury konkurencyjnej. Niezbędne są solidne zabezpieczenia w celu zapewnienia, aby wszelkie istotne zmiany umowy, w szczególności dotyczące zakresu i treści wzajemnych praw i obowiązków stron, podlegały odpowiedniemu uzasadnieniu, w stosownych przypadkach, uprzedniej publikacji i potencjalnej kontroli w celu zwalczania potencjalnych nadużyć. W przypadku gdy modyfikacje przekraczają 50 % pierwotnej szacunkowej wartości zamówienia, istnieje zwiększone ryzyko, że takie modyfikacje zmieniłyby równowagę ekonomiczną zamówienia, w związku z czym takie modyfikacje powinny podlegać zwiększonym obowiązkom w zakresie przejrzystości.</w:t>
      </w:r>
    </w:p>
    <w:p>
      <w:r>
        <w:t>(46) Należy ustanowić przepisy zapewniające identyfikowalność decyzji podejmowanych w trakcie całego postępowania o udzielenie zamówienia. Dokumentacja poszczególnych postępowań o udzielenie zamówienia pozostaje kluczowa dla potwierdzenia właściwego stosowania niniejszego rozporządzenia. Powinien on być w miarę możliwości zautomatyzowany na elektronicznych platformach zamówień publicznych. Przejrzystość możliwości w zakresie zamówień publicznych jest podstawą zapewnienia wszystkim wykonawcom w całej Unii równego dostępu do zamówień publicznych w całej Unii. Należy zatem zagwarantować właściwą publikację takich informacji za pomocą przepisów dotyczących informacji, które mają być publikowane. Aby umożliwić podejście skoncentrowane na danych, w niniejszym rozporządzeniu należy określić ogólne kategorie informacji. Kategorie informacji są pogrupowane, co pozwala na uzyskanie kompleksowego obrazu od etapu planowania zamówień po zakończenie umowy, co prowadzi do gromadzenia odpowiednich punktów danych, a nie do bardziej statycznego skoncentrowania się na formularzach w formie papierowej, co wspiera zmniejszenie obciążeń administracyjnych. W niniejszym rozporządzeniu należy również określić terminy i warunki publikacji, w tym na szczeblu krajowym.</w:t>
      </w:r>
    </w:p>
    <w:p>
      <w:r>
        <w:t>(47) Koncesje i zamówienia publiczne mają ten sam główny cel, jakim jest umożliwienie nabywcom publicznym zaspokojenia potrzeb publicznych za pomocą robót budowlanych lub usług. Różnią się one przede wszystkim strukturą wynagrodzeń, a nie ich zasadniczym celem. Biorąc pod uwagę ich podobieństwa, w tym zależność od konkurencyjnych procedur wyboru, realizację horyzontalnych celów polityki i potencjalne wykorzystanie aktywów publicznych, należy w jak największym stopniu zharmonizować ich ramy prawne, aby zwiększyć jasność, zmniejszyć złożoność i zapewnić spójną realizację priorytetów Unii. Podejście to, poparte elastycznymi przepisami proceduralnymi, zapewnia nabywcom publicznym jaśniejsze wytyczne przy jednoczesnym zachowaniu niezbędnych rozróżnień.</w:t>
      </w:r>
    </w:p>
    <w:p>
      <w:r>
        <w:t>(48) Aby rozwiać wątpliwości koncepcyjne wynikające z definicji koncesji zawartej w dyrektywie 2014/23/UE oraz odróżnić ją od innych rodzajów umów, takich jak umowy dzierżawy gruntów, konieczne jest wyjaśnienie definicji koncesji i pojęcia ryzyka operacyjnego, które stanowią decydujące kryterium kwalifikowania umowy jako koncesji. Elementy definicji określone w niniejszym rozporządzeniu należy rozumieć jako ograniczone do określenia zakresu niniejszego rozporządzenia, bez wpływu na definicje ryzyka operacyjnego do celów innych obszarów polityki. Nowa definicja powinna koncentrować się bezpośrednio na narażeniu koncesjonariusza na niepewne wyniki gospodarcze, które mogą mieć wpływ na odzyskanie inwestycji i kosztów operacyjnych w normalnych warunkach rynkowych, a nie opierać się na sztywnych, nadmiernie nakazowych kategoriach ryzyka. Podejście to gwarantuje, że czynniki takie jak ryzyko związane z popytem, podażą, dostępnością, cyklem życia lub wydajnością nie są traktowane jako samodzielne kryteria prawne, lecz jako ilustracja bazowej ekspozycji ekonomicznej, która charakteryzuje przeniesienie ryzyka operacyjnego. Mechanizm regulacyjny, w ramach którego operatorzy otrzymują wynagrodzenie zgodnie z taryfami ustawowymi lub regulowanymi, które w pełni rekompensują ich koszty inwestycji i koszty operacyjne, eliminując tym samym rzeczywiste ryzyko operacyjne, nie stanowi koncesji w rozumieniu niniejszego rozporządzenia. Środki regulacyjne, których głównym celem jest przyznanie wsparcia finansowego, lub inne zachęty nie powinny jako takie być uznawane za koncesje tylko dlatego, że są przyznawane w drodze procedury konkurencyjnej i nakładają pewne wymogi na beneficjentów. Prawa drogi związane z budową i eksploatacją stałych linii lub sieci również nie powinny być uznawane za koncesje, jeżeli nie pociągają za sobą obowiązku świadczenia usług lub nabycia usług przez organ publiczny.</w:t>
      </w:r>
    </w:p>
    <w:p>
      <w:r>
        <w:t>(49) Aby zapewnić skuteczne zarządzanie koncesjami od przygotowania do wdrożenia, niniejsze rozporządzenie wprowadza elementy ustrukturyzowanego zarządzania umowami, w tym uprzednią ocenę ryzyka w celu sprawdzenia, czy rzeczywiste i ekonomicznie uzasadnione ryzyko operacyjne zostało przeniesione na koncesjonariusza. Ta wcześniejsza ustrukturyzowana ocena ryzyka powinna określać główne kategorie ryzyka i określać, na podstawie obiektywnych elementów, podział ryzyka między stronami. W tym celu należy uwzględnić odpowiednią zdolność stron do kontrolowania wystąpienia lub skutków danego ryzyka lub wpływania na nie, nie zwalniając przy tym koncesjonariusza z narażenia na potencjalne straty, nawet jeżeli nabywca publiczny ponosi część ryzyka lub jeżeli ogólne narażenie na potencjalne straty jest ograniczone. Okres obowiązywania koncesji powinien być proporcjonalny nie tylko do czasu potrzebnego koncesjonariuszowi na odzyskanie nakładów inwestycyjnych, ale również do przewidywalnych zmian sektorowych, takich jak zmiany technologiczne, środowiskowe, klimatyczne lub społeczne, które mogłyby wpłynąć na realizację koncesji. Zbyt długi czas trwania może zwiększyć potrzebę istotnych zmian, podważając tym samym początkową alokację ryzyka i warunki konkurencji. Umowy powinny umożliwiać dostosowanie się do zmieniających się wymogów dotyczących zrównoważonego rozwoju, postępu technologicznego, bezpieczeństwa, innowacji i odporności, zapewniając, aby koncesje pozostawały adekwatne do zakładanych celów przez cały cykl ich życia.</w:t>
      </w:r>
    </w:p>
    <w:p>
      <w:r>
        <w:t>(50) Przepisy dotyczące modyfikacji koncesji okazały się trudne do zastosowania w praktyce. Niniejsze rozporządzenie, zachowując istniejące w ramach wyjątki od zakazów wprowadzania zmian, wprowadza zatem jaśniejsze limity lepiej odzwierciedlające realia gospodarcze koncesji, a mianowicie wymóg zachowania równowagi gospodarczej i zakaz wprowadzania zmian w istotnych elementach konkurencji. W celu zwiększenia przejrzystości w zakresie modyfikacji umów niniejsze rozporządzenie wprowadza obowiązek publikacji ex ante w przypadku istotnych modyfikacji (przekraczających 50 %), który powinien działać jako zabezpieczenie przed nadużyciami.</w:t>
      </w:r>
    </w:p>
    <w:p>
      <w:r>
        <w:t>(51) Dostawcy usług w zakresie e-zamówień, zarówno publiczni, jak i prywatni, odgrywają ważną rolę w zamówieniach publicznych, ułatwiając bezpieczną komunikację elektroniczną. Konieczne jest zatem ustanowienie w odniesieniu do nich określonych wymogów, aby zapewnić funkcjonowanie interoperacyjnej wymiany informacji, a także odporność sieci interoperacyjności. Aby zapewnić wykonawcom łatwy dostęp do transgranicznych postępowań o udzielenie zamówienia, Komisja powinna ustanowić i obsługiwać platformę e-zamówień zawierającą podstawowe funkcje niezbędne do dostępu do postępowań o udzielenie zamówienia i ich prowadzenia.</w:t>
      </w:r>
    </w:p>
    <w:p>
      <w:r>
        <w:t>(52) Aby poprawić transgraniczny dostęp do postępowań o udzielenie zamówienia, należy ustanowić normę europejską dotyczącą postępowań o udzielenie zamówienia, która umożliwi wykonawcom przekazywanie informacji elektronicznych, takich jak oferty, nabywcom publicznym korzystającym z innych usług. Ponadto europejska organizacja normalizacyjna powinna również zwrócić się o opracowanie normy europejskiej dotyczącej szczegółów zamówienia. Należy również wyjaśnić, że komunikacja elektroniczna bezpośrednio za pośrednictwem platformy e-zamówień wybranej przez nabywcę publicznego pozostaje dozwolona, jeżeli jest zgodna z przepisami dotyczącymi komunikacji elektronicznej.</w:t>
      </w:r>
    </w:p>
    <w:p>
      <w:r>
        <w:t>(53) Ważnym elementem uproszczenia procedur udzielania zamówień jest zmniejszenie obciążenia administracyjnego związanego z kontrolą kwalifikowalności wykonawcy. W tym celu Komisja powinna ustanowić elektroniczną usługę kwalifikowalności, która zapewnia informacje z aktualnego narzędzia cyfrowych poświadczeń biznesowych wykonawcy, a także każdego członka konsorcjum lub podwykonawcy uczestniczącego w danym postępowaniu o udzielenie zamówienia. Dzięki połączeniu z krajowymi bazami danych nabywcy publiczni mogą otrzymywać aktualne informacje na temat kwalifikowalności wykonawcy.</w:t>
      </w:r>
    </w:p>
    <w:p>
      <w:r>
        <w:t>(54) Dane dotyczące zamówień publicznych, w tym dane dotyczące umów, mają wiele ważnych zastosowań i celów: może dostarczyć wskazówek dotyczących funkcjonowania rynku wewnętrznego i pomóc w wykrywaniu nadużyć finansowych, korupcji, zmowy i uchybień. Tam, gdzie nabywcom publicznym zapewnia się większą elastyczność w prowadzeniu postępowań o udzielenie zamówienia, ważna jest ogólna lepsza jakość danych w celu poprawy monitorowania. Państwa członkowskie powinny zatem ustanowić krajowe przestrzenie danych dotyczących zamówień publicznych. Chociaż dostęp do danych dotyczących zamówień publicznych jest bardzo istotny, nie jest konieczne wymaganie powielania danych z różnych źródeł, ponieważ wiąże się to ze zwiększonymi kosztami bez dostrzegalnych korzyści. Dlatego też krajowe przestrzenie danych powinny zapewniać dostęp do danych, w tym danych, które mogą być przechowywane w innych bazach danych, tylko wtedy, gdy jest to konieczne, przechowując lub pobierając informacje. Jeżeli istnieją już bazy danych dotyczących zamówień publicznych, powinny one stanowić podstawę krajowych przestrzeni danych dotyczących zamówień publicznych. Przestrzeń danych dotyczących zamówień publicznych została utworzona przez Komisję w celu przechowywania i wymiany informacji na temat zamówień publicznych i powinna otrzymywać informacje na temat zamówień z krajowych przestrzeni danych dotyczących zamówień publicznych.</w:t>
      </w:r>
    </w:p>
    <w:p>
      <w:r>
        <w:t>(55) Platformy e-zamówień stanowią infrastrukturę krytyczną stanowiącą podstawę zamówień publicznych w całej Unii. Informacje przetwarzane za pośrednictwem takich systemów mają bardzo wrażliwy charakter. Koncentracja takich danych w ramach platform będących własnością państw trzecich, znajdujących się pod ich kontrolą lub pod ich bezprawnym wpływem stwarza znaczne ryzyko dla interesów Unii lub co najmniej jednego z jej państw członkowskich w zakresie bezpieczeństwa i bezpieczeństwa publicznego. Takie ryzyko obejmuje nieuprawniony dostęp do wrażliwych danych dotyczących zamówień, ingerencję w integralność lub dostępność platform zamówień publicznych, narażenie na cyberataki lub szpiegostwo ułatwiane przez zagraniczne podmioty państwowe oraz potencjalne wykorzystywanie informacji o zamówieniach do celów gospodarczych lub strategicznych ze szkodą dla Unii. Zapewnienie, aby dostawcy usług w zakresie e-zamówień oraz krajowe przestrzenie danych dotyczących zamówień publicznych pozostały wolne od struktur własności lub mechanizmów kontroli, które niosą ze sobą ryzyko nadmiernej ingerencji, ma zatem zasadnicze znaczenie dla ochrony bezpieczeństwa i odporności infrastruktury zamówień publicznych.</w:t>
      </w:r>
    </w:p>
    <w:p>
      <w:r>
        <w:t>(56) Skuteczność niniejszego rozporządzenia zależy nie tylko od jasnych zasad, ale również od solidnych rozwiązań w zakresie zarządzania na szczeblu krajowym. Państwa członkowskie powinny zatem zapewnić ustrukturyzowane i oparte na dowodach ramy monitorowania funkcjonowania swoich systemów zamówień publicznych, w oparciu o dane dostępne w ich krajowych przestrzeniach danych dotyczących zamówień publicznych, aby identyfikować niedociągnięcia, oceniać wyniki i konkurencję, wykrywać ryzyko systemowe i oceniać postępy w realizacji celów niniejszego rozporządzenia. Takie monitorowanie powinno wspierać ciągłe doskonalenie krajowych systemów zamówień publicznych i powinno obejmować między innymi bariery dla konkurencji i dostępu do rynku, w tym dla MŚP, podatność na korupcję i nadużycia finansowe, zależności w łańcuchu dostaw oraz absorpcję zrównoważonego rozwoju, innowacji i cyfryzacji. Wyniki tego monitorowania powinny być regularnie podawane do wiadomości publicznej i uwzględniane w okresowych sprawozdaniach przedkładanych Komisji.</w:t>
      </w:r>
    </w:p>
    <w:p>
      <w:r>
        <w:t>(57) Państwa członkowskie powinny również wyznaczyć krajowy organ koordynujący, aby zapewnić skuteczną koordynację między odpowiednimi organami krajowymi, ułatwić współpracę i wymianę informacji między tymi organami oraz działać jako pojedynczy punkt kontaktowy dla Komisji, właściwych organów innych państw członkowskich i odpowiednich zainteresowanych stron.</w:t>
      </w:r>
    </w:p>
    <w:p>
      <w:r>
        <w:t>(58) Profesjonalizacja jest kluczowym czynnikiem zapewniającym skuteczne, efektywne i oparte na uczciwości zamówienia publiczne. Wymaga to długoterminowego i strategicznego podejścia do rozwijania i utrzymywania umiejętności i kompetencji nabywców publicznych w całym cyklu zamówień publicznych. Strategia krajowa powinna zapewnić spójne ramy ustalania priorytetów, koordynowania środków, monitorowania postępów i dostosowywania wysiłków na rzecz profesjonalizacji w miarę upływu czasu. Środki profesjonalizacji powinny uwzględniać różne potrzeby nabywców publicznych na każdym szczeblu zarządzania, ze szczególnym uwzględnieniem nabywców o ograniczonych zdolnościach administracyjnych. Takie środki powinny również ułatwiać udział wykonawców, w szczególności MŚP, oraz wspierać inne podmioty przyczyniające się do funkcjonowania systemu zamówień publicznych. Odpowiednie struktury wsparcia, takie jak centra kompetencji, jednostki szkoleniowe, usługi doradcze lub centra informacyjne, odgrywają ważną rolę we wzmacnianiu profesjonalizacji nabywców publicznych i poprawie ogólnych wyników systemu zamówień publicznych.</w:t>
      </w:r>
    </w:p>
    <w:p>
      <w:r>
        <w:t>(59) Nadużycia finansowe, faworyzowanie, zmowa, korupcja i konflikty interesów nadal stanowią poważne zagrożenie dla integralności i skuteczności zamówień publicznych. W związku z tym, aby uniknąć wszelkich zakłóceń konkurencji i zapewnić równe traktowanie wszystkich wykonawców, w tym w ramach realizacji zamówienia. Nabywcy publiczni powinni być zobowiązani do stosowania odpowiednich, proporcjonalnych i skutecznych środków w celu zapobiegania takiemu ryzyku, jego identyfikowania i eliminowania w całym okresie przygotowywania, udzielania i wykonywania zamówień. Państwa członkowskie powinny wspierać te wysiłki za pomocą odpowiednich narzędzi, w tym opartych na danych instrumentów analizy ryzyka, takich jak Arachne+, które jest instytucjonalnym narzędziem Komisji do eksploracji danych i punktowej oceny ryzyka mającym pomóc w wykrywaniu nadużyć finansowych, konfliktów interesów i nieprawidłowości mających wpływ na budżet UE oraz zapobieganiu im. Nowy ekosystem cyfrowy zamówień publicznych w Unii ma na celu zapewnienie przejrzystości i rozliczalności, przyczyniając się tym samym do zmniejszenia ryzyka dla integralności procedur.</w:t>
      </w:r>
    </w:p>
    <w:p>
      <w:r>
        <w:t>(60) W celu dostosowania się do szybkich zmian technicznych, gospodarczych i regulacyjnych należy przekazać Komisji uprawnienia do przyjmowania aktów zgodnie z art. 290 Traktatu w odniesieniu do szeregu innych niż istotne elementów niniejszego rozporządzenia: zmianę progów dotyczących zamówień publicznych co dwa lata w celu uwzględnienia różnic w równoważności SDR, nałożenie wymogów środowiskowych w odniesieniu do zamówień na niektóre produkty, zmianę wykazu przepisów Unii wprowadzających wymogi w zakresie zrównoważonego rozwoju produktów lub technologii, w razie potrzeby po przyjęciu nowych odpowiednich aktów prawnych Unii, zmianę progu stosowania BIM w zamówieniach publicznych, przyjęcie obowiązkowych specyfikacji i innych kryteriów udzielania zamówień publicznych, w przypadku gdy elementy te odnoszą się do zidentyfikowanych interesów Unii w zakresie bezpieczeństwa i bezpieczeństwa publicznego lub w przypadku zidentyfikowania strategicznych zależności lub ryzyka, zmianę definicji objętych nią wykonawców, towarów, usług lub robót budowlanych lub uzupełnienie niniejszego rozporządzenia poprzez zobowiązanie nabywców publicznych do stosowania dowolnego z dobrowolnych środków ograniczających określonych w niniejszym rozporządzeniu, zmianę lub rozszerzenie wymaganych informacji o zamówieniach, wyznaczenie lub ustanowienie sieci interoperacyjności oraz ustanowienie zasad zarządzania elektronicznym systemem kwalifikowalności i wyznaczenie cyfrowego narzędzia poświadczeń przedsiębiorstwa oraz powiązanej sieci. Szczególnie ważne jest, aby w czasie prac przygotowawczych Komisja prowadziła stosowne konsultacje, w tym na poziomie ekspertów, oraz aby konsultacje te prowadzone były zgodnie z zasadami określonymi w Porozumieniu międzyinstytucjonalnym z dnia 13 kwietnia 2016 r. w sprawie lepszego stanowienia prawa[9]. W szczególności zapewnienie równego udziału w przygotowaniu</w:t>
      </w:r>
    </w:p>
    <w:p>
      <w:r>
        <w:t>[9] Dz.U. L 123 z 12.5.2016, s. 1, http://data.europa.eu/eli/agree_interinstit/2016/512/oj.</w:t>
      </w:r>
    </w:p>
    <w:p>
      <w:r>
        <w:t>akty delegowane, Parlament Europejski i Rada otrzymują wszelkie dokumenty w tym samym czasie co eksperci państw członkowskich, a eksperci tych instytucji mogą systematycznie brać udział w posiedzeniach grup eksperckich Komisji zajmujących się przygotowaniem aktów delegowanych.</w:t>
      </w:r>
    </w:p>
    <w:p>
      <w:r>
        <w:t>(61) W celu zapewnienia jednolitych warunków wykonywania niniejszego rozporządzenia należy powierzyć Komisji uprawnienia wykonawcze do przyjmowania decyzji dotyczących poziomów konkurencji na niektórych rynkach oraz wykonalności wyłączenia niektórych rodzajów nabywców publicznych z przepisów dotyczących zamówień publicznych; określenie, jakiego rodzaju konkretne informacje powinny być zawarte w każdym podsumowaniu publicznym, oraz ustanowienie połączenia podsumowań publicznych i kolejności konkretnych informacji zawartych w wielu podsumowaniach publicznych, a także powiązanych wymogów dla nabywców publicznych i dostawców usług e-zamówień w zakresie ponownego wykorzystywania informacji; ustalenia dotyczące wdrażania sieci interoperacyjności, elektronicznej usługi kwalifikowalności i wymiany danych; ustanowienie wspólnych specyfikacji obejmujących wymogi dotyczące semantycznego modelu danych w postępowaniach o udzielenie zamówienia; oraz w celu określenia informacji dotyczących zamówień, które należy udostępnić krajowej przestrzeni danych dotyczących zamówień publicznych (NPPDS) i przestrzeni danych dotyczących zamówień publicznych (PPDS), wskazania jej jako publicznie dostępnej, warunków publikacji, takich jak data publikacji w przypadku początkowo niedostępnych publicznie informacji, oraz źródła wymogów walidacji technicznej. Uprawnienia te powinny być wykonywane zgodnie z rozporządzeniem Parlamentu Europejskiego i Rady (UE) nr 182/2011[10].</w:t>
      </w:r>
    </w:p>
    <w:p>
      <w:r>
        <w:t>(62) Ponieważ cel niniejszego rozporządzenia, a mianowicie harmonizacja przepisów dotyczących procedur udzielania zamówień publicznych, nie może zostać osiągnięty w sposób wystarczający przez państwa członkowskie, natomiast ze względu na jego rozmiary i skutki możliwe jest jego lepsze osiągnięcie na poziomie Unii, może ona podjąć działania zgodnie z zasadą pomocniczości określoną w art. 5 Traktatu o Unii Europejskiej. Zgodnie z zasadą proporcjonalności określoną w tym artykule niniejsze rozporządzenie nie wykracza poza to, co jest konieczne do osiągnięcia tego celu.</w:t>
      </w:r>
    </w:p>
    <w:p>
      <w:r>
        <w:t>(63) Niniejsze rozporządzenie wprowadza szczegółowe regulacje, konsolidując odpowiednie przepisy dotyczące zamówień publicznych zawarte w prawodawstwie sektorowym w jedno prawodawstwo referencyjne, tj. niniejsze rozporządzenie. Zapewnia on ogólne ramy dla przepisów dotyczących zamówień publicznych, które mają znaczenie nie tylko dla poszczególnych sektorów, a tym samym znacznie uprości stosowanie tych przepisów w praktyce. W celu skreślenia i włączenia do niniejszego rozporządzenia odpowiednich przepisów dotyczących zamówień publicznych, które mają zastosowanie niezależnie od rodzaju danego produktu, konieczna jest zatem zmiana rozporządzeń (UE) 2023/1542[11], (UE) 2024/1157[12], (UE) 2024/1252[13], (UE) 2024/1735[14], (UE) 2024/1781[15], (UE) 2024/2847[16], (UE) 2024/3110[17] i (UE) 2025/40[18] oraz dyrektyw 2008/98/WE[19], (UE) 2019/882[20], (UE) 2022/2381[21], (UE) 2023/1791[22] i (UE) 2024/1760[23]. Należy zmienić rozporządzenie (WE) nr 1370/2007, aby przepisy dotyczące bezpieczeństwa, bezpieczeństwa dostaw i preferencji europejskiej przewidziane w niniejszym rozporządzeniu miały zastosowanie do tego rozporządzenia.</w:t>
      </w:r>
    </w:p>
    <w:p>
      <w:r>
        <w:t>(64) Należy uchylić dyrektywy 2014/23/UE, 2014/24/UE i 2014/25/UE.</w:t>
      </w:r>
    </w:p>
    <w:p>
      <w:r>
        <w:t>(65) Z uwagi na skalę i nowatorski charakter reform wprowadzonych niniejszym rozporządzeniem, w tym ustanowienie wspólnego ekosystemu cyfrowego i przestrzeni danych, wzmocnienie strategicznych przepisów dotyczących zamówień publicznych oraz nowe wymogi w zakresie zarządzania i monitorowania, stosowanie niniejszego rozporządzenia należy odroczyć o dwa lata.</w:t>
      </w:r>
    </w:p>
    <w:p>
      <w:r>
        <w:t>(66) Zgodnie z art. 42 ust. 1 rozporządzenia (UE) 2018/1725[24] skonsultowano się z Europejskim Inspektorem Ochrony Danych, który wydał opinię w dniu [INSERT],</w:t>
      </w:r>
    </w:p>
    <w:p>
      <w:r>
        <w:t>PRZYJMUJĄ NINIEJSZE ROZPORZĄDZENIE:</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Sprawozdanie specjalne z 2023 r. dotyczące zamówień publicznych w UE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Publiczno-zamówienia-ramy prawne.</w:t>
      </w:r>
    </w:p>
    <w:p>
      <w:r>
        <w:rPr>
          <w:sz w:val="16"/>
        </w:rPr>
        <w:t>10 https://commission.europa.eu/publications/simpler-clearer-and-better-enforced-eu-rulebook_en.</w:t>
      </w:r>
    </w:p>
    <w:p>
      <w:r>
        <w:rPr>
          <w:sz w:val="16"/>
        </w:rPr>
        <w:t>11 Sprawa C-652/22, Kolin İnİaat Turizm Sanayi ve Ticaret Aű przeciwko Państwowej Komisji Nadzoru nad Procedurami Zamówień Publicznych; Sprawa C-266/22, CRRC Qingdao Sifang Co. Ltd i Astra Vagoane Călători SA przeciwko Autoritatea pentru Reformă Feroviară i Alstom Ferroviaria SpA.</w:t>
      </w:r>
    </w:p>
    <w:p>
      <w:r>
        <w:rPr>
          <w:sz w:val="16"/>
        </w:rPr>
        <w:t>12 Różnica w kosztach przedstawiona w ocenie skutków finansowych regulacji i w ocenie skutków wynika z faktu, że ocena skutków finansowych regulacji obejmuje wszystkie koszty, podczas gdy ocena skutków uwzględnia jedynie dodatkowe koszty wprowadzone w ramach środków z zakresu polityki oprócz tzw. zwykłych kosztów. Istnieją również niewielkie różnice w klasyfikacji i prezentacji kosztów wynikające z wymogów rozporządzenia finansowego.</w:t>
      </w:r>
    </w:p>
    <w:p>
      <w:r>
        <w:rPr>
          <w:sz w:val="16"/>
        </w:rPr>
        <w:t>13 Rozporządzenie Parlamentu Europejskiego i Rady (UE) 2024/1252 z dnia 11 kwietnia 2024 r. w sprawie ustanowienia ram na potrzeby zapewnienia bezpiecznych i zrównoważonych dostaw surowców krytycznych oraz zmiany rozporządzeń (UE) nr 168/2013, (UE) 2018/858, (UE) 2018/1724 i (UE) 2019/1020 (Dz.U. L, 2024/1252, 3.5.2024, ELI: http://data.europa.eu/eli/reg/2024/1252/oj).</w:t>
      </w:r>
    </w:p>
    <w:p>
      <w:r>
        <w:rPr>
          <w:sz w:val="16"/>
        </w:rPr>
        <w:t>14 Rozporządzenie Parlamentu Europejskiego i Rady (UE) 2024/1735 z dnia 13 czerwca 2024 r. w sprawie ustanowienia ram środków na rzecz wzmocnienia europejskiego ekosystemu produkcji technologii neutralnych emisyjnie i zmieniające rozporządzenie (Dz.U. L, 2024/1735, 28.6.2024, ELI: http://data.europa.eu/eli/reg/2024/1735/oj).</w:t>
      </w:r>
    </w:p>
    <w:p>
      <w:r>
        <w:rPr>
          <w:sz w:val="16"/>
        </w:rPr>
        <w:t>15 Rozporządzenie Parlamentu Europejskiego i Rady (UE) 2024/1781 z dnia 13 czerwca 2024 r. w sprawie ustanowienia ram ustalania wymogów ekoprojektu w odniesieniu do zrównoważonych produktów oraz zmiany dyrektywy (UE) 2020/1828 i rozporządzenia (UE) 2023/1542 i uchylenia dyrektywy 2009/125/WE (Dz.U. L, 2024/1781, 28.6.2024, ELI: http://data.europa.eu/eli/reg/2024/1781/oj).</w:t>
      </w:r>
    </w:p>
    <w:p>
      <w:r>
        <w:rPr>
          <w:sz w:val="16"/>
        </w:rPr>
        <w:t>16 Rozporządzenie Parlamentu Europejskiego i Rady (UE) 2024/2847 z dnia 23 października 2024 r. w sprawie horyzontalnych wymagań w zakresie cyberbezpieczeństwa w odniesieniu do produktów z elementami cyfrowymi oraz w sprawie zmiany rozporządzeń (UE) nr 168/2013 i (UE) 2019/1020 i dyrektywy (UE) 2020/1828 (akt o cyberodporności) (Dz.U. L, 2024/2847, 20.11.2024, ELI: http://data.europa.eu/eli/reg/2024/2847/oj).</w:t>
      </w:r>
    </w:p>
    <w:p>
      <w:r>
        <w:rPr>
          <w:sz w:val="16"/>
        </w:rPr>
        <w:t>17 Rozporządzenie Parlamentu Europejskiego i Rady (UE) 2024/3110 z dnia 27 listopada 2024 r. w sprawie ustanowienia zharmonizowanych zasad wprowadzania do obrotu wyrobów budowlanych i uchylenia rozporządzenia (UE) nr 305/2011 (Dz.U. L, 2024/3110, 18.12.2024, ELI: http://data.europa.eu/eli/reg/2024/3110/oj).</w:t>
      </w:r>
    </w:p>
    <w:p>
      <w:r>
        <w:rPr>
          <w:sz w:val="16"/>
        </w:rPr>
        <w:t>18 Rozporządzenie Parlamentu Europejskiego i Rady (UE) 2024/1735 z dnia 13 czerwca 2024 r. w sprawie ustanowienia ram środków na rzecz wzmocnienia europejskiego ekosystemu produkcji technologii neutralnych emisyjnie i zmieniające rozporządzenie (UE) 2018/1724 (Dz.U. L, 2024/1735, 28.6.2024, ELI: http://data.europa.eu/eli/reg/2024/1735/oj).</w:t>
      </w:r>
    </w:p>
    <w:p>
      <w:r>
        <w:rPr>
          <w:sz w:val="16"/>
        </w:rPr>
        <w:t>19 Dyrektywa Parlamentu Europejskiego i Rady 2008/98/WE z dnia 19 listopada 2008 r. w sprawie odpadów oraz uchylająca niektóre dyrektywy (Dz.U. L 312 z 22.11.2008, s. 3, ELI: http://data.europa.eu/eli/dir/2008/98/oj).</w:t>
      </w:r>
    </w:p>
    <w:p>
      <w:r>
        <w:rPr>
          <w:sz w:val="16"/>
        </w:rPr>
        <w:t>20 Dyrektywa Parlamentu Europejskiego i Rady 2014/24/UE z dnia 26 lutego 2014 r. w sprawie zamówień publicznych, uchylająca dyrektywę 2004/18/WE (Dz.U. L 94 z 28.3.2014, s. 65, ELI: http://data.europa.eu/eli/dir/2014/24/oj).</w:t>
      </w:r>
    </w:p>
    <w:p>
      <w:r>
        <w:rPr>
          <w:sz w:val="16"/>
        </w:rPr>
        <w:t>21 Dyrektywa Parlamentu Europejskiego i Rady (UE) 2022/2381 z dnia 23 listopada 2022 r. w sprawie poprawy równowagi płci wśród dyrektorów spółek giełdowych oraz powiązanych środków (Dz.U. L 315 z 7.12.2022, s. 44, ELI: http://data.europa.eu/eli/dir/2022/2381/oj).</w:t>
      </w:r>
    </w:p>
    <w:p>
      <w:r>
        <w:rPr>
          <w:sz w:val="16"/>
        </w:rPr>
        <w:t>22 Dyrektywa Parlamentu Europejskiego i Rady (UE) 2023/1791 z dnia 13 września 2023 r. w sprawie efektywności energetycznej oraz zmieniająca rozporządzenie (UE) 2023/955 (wersja przekształcona) (Dz.U. L 231 z 20.9.2023, s. 1, ELI: http://data.europa.eu/eli/dir/2023/1791/oj).</w:t>
      </w:r>
    </w:p>
    <w:p>
      <w:r>
        <w:rPr>
          <w:sz w:val="16"/>
        </w:rPr>
        <w:t>23 Dyrektywa Parlamentu Europejskiego i Rady (UE) 2024/1760 z dnia 13 czerwca 2024 r. w sprawie należytej staranności przedsiębiorstw w zakresie zrównoważonego rozwoju oraz zmieniająca dyrektywę (UE) 2019/1937 i rozporządzenie (UE) 2023/2859 (Dz.U. L, 2024/1760, 5.7.2024, ELI: http://data.europa.eu/eli/dir/2024/1760/oj).</w:t>
      </w:r>
    </w:p>
    <w:p>
      <w:r>
        <w:rPr>
          <w:sz w:val="16"/>
        </w:rPr>
        <w:t>24 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s. 39, ELI: http://data.europa.eu/eli/reg/2018/1725/oj).</w:t>
      </w:r>
    </w:p>
    <w:p>
      <w:pPr>
        <w:pStyle w:val="Heading2"/>
        <w:jc w:val="center"/>
      </w:pPr>
      <w:r>
        <w:t>Część I</w:t>
      </w:r>
    </w:p>
    <w:p>
      <w:pPr>
        <w:pStyle w:val="Heading2"/>
        <w:jc w:val="center"/>
      </w:pPr>
      <w:r>
        <w:t>Przepisy ogólne</w:t>
      </w:r>
    </w:p>
    <w:p>
      <w:pPr>
        <w:pStyle w:val="Heading2"/>
        <w:jc w:val="center"/>
      </w:pPr>
      <w:r>
        <w:t>Tytuł I</w:t>
      </w:r>
    </w:p>
    <w:p>
      <w:pPr>
        <w:pStyle w:val="Heading2"/>
        <w:jc w:val="center"/>
      </w:pPr>
      <w:r>
        <w:t>Przedmiot i zakres stosowania</w:t>
      </w:r>
    </w:p>
    <w:p>
      <w:pPr>
        <w:pStyle w:val="Heading3"/>
        <w:jc w:val="center"/>
      </w:pPr>
      <w:r>
        <w:t>Artykuł 1</w:t>
      </w:r>
    </w:p>
    <w:p>
      <w:pPr>
        <w:pStyle w:val="Heading4"/>
        <w:jc w:val="center"/>
      </w:pPr>
      <w:r>
        <w:t>Przedmiot i zakres stosowania</w:t>
      </w:r>
    </w:p>
    <w:p>
      <w:r>
        <w:t>1. Niniejsze rozporządzenie ustanawia przepisy dotyczące zamówień publicznych na roboty budowlane, dostawy lub usługi oraz koncesji na roboty budowlane lub usługi zamawiane przez co najmniej jednego nabywcę publicznego od co najmniej jednego wykonawcy, których wartość jest równa progom ustanowionym w art. 2 lub wyższa.</w:t>
      </w:r>
    </w:p>
    <w:p>
      <w:r>
        <w:t>2. W niniejszym rozporządzeniu ustanawia się przepisy proceduralne mające zastosowanie do udzielania zamówień publicznych i koncesji, a także związane z zamówieniami aspekty planowania i realizacji takich zamówień i koncesji, określa się cele strategiczne, które należy uwzględnić, oraz ustanawia się ramy wspólnego ekosystemu cyfrowego, który ma być wykorzystywany przy ich planowaniu, udzielaniu i wdrażaniu, a także mechanizmy zapewniające skuteczność i rozliczalność zamówień publicznych.</w:t>
      </w:r>
    </w:p>
    <w:p>
      <w:r>
        <w:t>3. Niniejsze rozporządzenie nie reguluje kwestii dotyczących ogólnego prawa administracyjnego lub prawa zobowiązań w państwach członkowskich wykraczających poza kwestie, o których mowa w ust. 1 i</w:t>
      </w:r>
    </w:p>
    <w:p>
      <w:r>
        <w:t>2. Nie wpływa ona na sposób, w jaki państwa członkowskie organizują swoją administrację publiczną, w tym kontrolę finansową i budżetową wydatków publicznych, ani na organizację swoich systemów zabezpieczenia społecznego.</w:t>
      </w:r>
    </w:p>
    <w:p>
      <w:r>
        <w:t>4. Niniejsze rozporządzenie stosuje się z zastrzeżeniem art. 346 Traktatu. Niniejsze rozporządzenie nie wyklucza przyjęcia lub egzekwowania środków krajowych niezbędnych do ochrony bezpieczeństwa narodowego państw członkowskich zgodnie z Traktatem.</w:t>
      </w:r>
    </w:p>
    <w:p>
      <w:r>
        <w:t>5. Niniejsze rozporządzenie nie wpływa na przewidzianą w art. 4 Traktatu swobodę państw członkowskich w zakresie ustanawiania, zgodnie z prawem Unii, usług świadczonych w ogólnym interesie gospodarczym ani na sposób organizacji i finansowania tych usług, pod warunkiem że są one zgodne z zasadami pomocy państwa, ani na szczególne obowiązki, którym podlegają. Ponadto niniejsze rozporządzenie nie ma wpływu na decyzje organów publicznych dotyczące tego, czy, w jaki sposób i w jakim zakresie chcą one samodzielnie wykonywać funkcje publiczne zgodnie z art. 14 Traktatu i protokołem nr 26 do Traktatu.</w:t>
      </w:r>
    </w:p>
    <w:p>
      <w:r>
        <w:t>6. Umowy, decyzje lub inne instrumenty prawne regulujące przekazanie uprawnień i obowiązków związanych z wykonywaniem zadań publicznych między nabywcami publicznymi, które nie przewidują wynagrodzenia za wykonanie umowy, uznaje się za kwestię wewnętrznej organizacji danego państwa członkowskiego i w związku z tym niniejsze rozporządzenie nie ma na nie żadnego wpływu.</w:t>
      </w:r>
    </w:p>
    <w:p>
      <w:pPr>
        <w:pStyle w:val="Heading3"/>
        <w:jc w:val="center"/>
      </w:pPr>
      <w:r>
        <w:t>Artykuł 2</w:t>
      </w:r>
    </w:p>
    <w:p>
      <w:pPr>
        <w:pStyle w:val="Heading4"/>
        <w:jc w:val="center"/>
      </w:pPr>
      <w:r>
        <w:t>Progi</w:t>
      </w:r>
    </w:p>
    <w:p>
      <w:r>
        <w:t>1. Niniejsze rozporządzenie ma zastosowanie do zamówień publicznych i koncesji, których szacunkowa wartość bez podatku od wartości dodanej (VAT) jest równa następującym progom lub od nich wyższa:</w:t>
      </w:r>
    </w:p>
    <w:p>
      <w:r>
        <w:t>a) 5 404 000 EUR w przypadku zamówień publicznych na roboty budowlane i koncesji;</w:t>
      </w:r>
    </w:p>
    <w:p>
      <w:r>
        <w:t>b) 140 000 EUR w przypadku zamówień publicznych na dostawy i zamówień publicznych na usługi udzielanych przez instytucje administracji centralnej wymienione w załączniku I;</w:t>
      </w:r>
    </w:p>
    <w:p>
      <w:r>
        <w:t>c) 216 000 EUR w przypadku zamówień publicznych na dostawy i zamówień publicznych na usługi udzielanych przez instytucje zamawiające poniżej szczebla centralnego;</w:t>
      </w:r>
    </w:p>
    <w:p>
      <w:r>
        <w:t>d) 432 000 EUR w przypadku zamówień publicznych na dostawy i zamówień publicznych na usługi udzielanych przez podmioty zamawiające działające w sektorach objętych częścią II tytuł I rozdział 2;</w:t>
      </w:r>
    </w:p>
    <w:p>
      <w:r>
        <w:t>e) 750 000 EUR w przypadku zamówień na usługi społeczne, zdrowotne i edukacyjne udzielonych na podstawie art. 58.</w:t>
      </w:r>
    </w:p>
    <w:p>
      <w:r>
        <w:t>2. Komisja jest uprawniona do przyjmowania aktów delegowanych zgodnie z art. 141 lub, w pilnych przypadkach, z art. 142, zmieniających progi określone w ust. 1 niniejszego artykułu zgodnie z warunkami określonymi w art. 3.</w:t>
      </w:r>
    </w:p>
    <w:p>
      <w:pPr>
        <w:pStyle w:val="Heading3"/>
        <w:jc w:val="center"/>
      </w:pPr>
      <w:r>
        <w:t>Artykuł 3</w:t>
      </w:r>
    </w:p>
    <w:p>
      <w:pPr>
        <w:pStyle w:val="Heading4"/>
        <w:jc w:val="center"/>
      </w:pPr>
      <w:r>
        <w:t>Zmiana progów</w:t>
      </w:r>
    </w:p>
    <w:p>
      <w:r>
        <w:t>1. Co dwa lata od dnia... [Urząd Publikacji: proszę wstawić datę = ostatni dzień miesiąca sierpnia po dacie wejścia w życie niniejszego rozporządzenia] Komisja sprawdza, czy progi określone w art. 2 ust. 1 odpowiadają progom ustanowionym w Porozumieniu w sprawie zamówień rządowych (GPA) Światowej Organizacji Handlu, i w razie potrzeby koryguje te progi zgodnie z niniejszym artykułem.</w:t>
      </w:r>
    </w:p>
    <w:p>
      <w:r>
        <w:t>2. Komisja dokonuje korekty progów określonych w art. 2 zgodnie z metodą obliczeniową określoną w Porozumieniu GPA. Komisja oblicza wartość tych progów na podstawie średniej dziennej wartości euro w odniesieniu do specjalnych praw ciągnienia (SDR) z okresu 24 miesięcy, którego koniec przypada na dzień 31 sierpnia poprzedzającego korektę ze skutkiem od dnia 1 stycznia. W razie potrzeby wartość skorygowanych progów zaokrągla się w dół do najbliższego tysiąca euro, aby zapewnić przestrzeganie obowiązujących progów przewidzianych w Porozumieniu GPA, wyrażonych w SDR.</w:t>
      </w:r>
    </w:p>
    <w:p>
      <w:r>
        <w:t>3. Od dnia 1 stycznia 202X r. [Urząd Publikacji: proszę wstawić rok po roku wejścia w życie niniejszego rozporządzenia], a następnie co dwa lata Komisja określa w walutach krajowych państw członkowskich, których walutą nie jest euro, wartości progów określonych w art. 2 niniejszego rozporządzenia.</w:t>
      </w:r>
    </w:p>
    <w:p>
      <w:r>
        <w:t>4. Zgodnie z metodą obliczania określoną w Porozumieniu GPA Komisja określa wartości, o których mowa w ust. 3, na podstawie średnich dziennych wartości tych walut odpowiadających mającemu zastosowanie progowi wyrażonemu w euro w okresie 24 miesięcy kończącym się dnia 31 sierpnia poprzedzającym korektę ze skutkiem od dnia 1 stycznia następnego roku.</w:t>
      </w:r>
    </w:p>
    <w:p>
      <w:r>
        <w:t>5. Komisja publikuje skorygowane progi oraz odpowiadające im wartości w walutach krajowych państw członkowskich, których walutą nie jest euro, w Dzienniku Urzędowym Unii Europejskiej na początku listopada następującego po ich korekcie.</w:t>
      </w:r>
    </w:p>
    <w:p>
      <w:r>
        <w:t>6. W przypadku gdy konieczna jest korekta progów określonych w art. 3 oraz gdy szczególnie pilna potrzeba uniemożliwia zastosowanie procedury określonej w art. 141 i w związku z tym jest to uzasadnione szczególnie pilną potrzebą, do aktów delegowanych przyjmowanych na podstawie art. 2 ust. 2 ma zastosowanie procedura, o której mowa w art. 142.</w:t>
      </w:r>
    </w:p>
    <w:p>
      <w:pPr>
        <w:pStyle w:val="Heading2"/>
        <w:jc w:val="center"/>
      </w:pPr>
      <w:r>
        <w:t>Tytuł II</w:t>
      </w:r>
    </w:p>
    <w:p>
      <w:pPr>
        <w:pStyle w:val="Heading2"/>
        <w:jc w:val="center"/>
      </w:pPr>
      <w:r>
        <w:t>Zasady, cele polityki i definicje</w:t>
      </w:r>
    </w:p>
    <w:p>
      <w:pPr>
        <w:pStyle w:val="Heading3"/>
        <w:jc w:val="center"/>
      </w:pPr>
      <w:r>
        <w:t>Artykuł 4</w:t>
      </w:r>
    </w:p>
    <w:p>
      <w:pPr>
        <w:pStyle w:val="Heading4"/>
        <w:jc w:val="center"/>
      </w:pPr>
      <w:r>
        <w:t>Zasady udzielania zamówień publicznych</w:t>
      </w:r>
    </w:p>
    <w:p>
      <w:r>
        <w:t>1. Zamówienia publiczne opierają się na zasadzie najlepszej jakości za pieniądze publiczne, a tym samym służą celowi, jakim są efektywne wydatki i inwestycje publiczne.</w:t>
      </w:r>
    </w:p>
    <w:p>
      <w:r>
        <w:t>2. Nabywcy publiczni traktują wykonawców pochodzących z Unii oraz wykonawców, którzy są wykonawcami objętymi niniejszą Umową zgodnie z art. 70 ust. 1, w sposób równy i niedyskryminujący, zapewniając pełną skuteczność swobodnego przepływu osób, towarów i usług oraz swobody przedsiębiorczości na rynku wewnętrznym Unii. Działają one w sposób przejrzysty i proporcjonalny.</w:t>
      </w:r>
    </w:p>
    <w:p>
      <w:r>
        <w:t>3. Nabywcy publiczni wprowadzają odpowiednie środki w celu zapewnienia integralności postępowania o udzielenie zamówienia oraz zapobiegania okolicznościom, które mogą zagrozić jego bezstronności i uczciwości.</w:t>
      </w:r>
    </w:p>
    <w:p>
      <w:r>
        <w:t>Nabywcy publiczni nie mogą projektować swoich zamówień w taki sposób, aby wyłączyć je z zakresu stosowania niniejszego rozporządzenia lub nadmiernie ograniczyć konkurencję.</w:t>
      </w:r>
    </w:p>
    <w:p>
      <w:r>
        <w:t>4. Nabywcy publiczni wprowadzają odpowiednie środki w celu zapewnienia, aby przy realizacji zamówień publicznych wykonawcy przestrzegali mających zastosowanie obowiązków związanych z celami polityki określonymi w art. 5, w tym mających zastosowanie obowiązków w dziedzinie prawa ochrony środowiska, prawa socjalnego i prawa pracy, ustanowionych w prawie Unii, prawie krajowym, układach zbiorowych lub w międzynarodowych konwencjach w dziedzinie prawa ochrony środowiska, prawa socjalnego i prawa pracy wymienionych w załączniku II.</w:t>
      </w:r>
    </w:p>
    <w:p>
      <w:pPr>
        <w:pStyle w:val="Heading3"/>
        <w:jc w:val="center"/>
      </w:pPr>
      <w:r>
        <w:t>Artykuł 5</w:t>
      </w:r>
    </w:p>
    <w:p>
      <w:pPr>
        <w:pStyle w:val="Heading4"/>
        <w:jc w:val="center"/>
      </w:pPr>
      <w:r>
        <w:t>Główne cele</w:t>
      </w:r>
    </w:p>
    <w:p>
      <w:r>
        <w:t>Zamówienia publiczne opierają się na strategicznych celach polityki Unii, w szczególności na:</w:t>
      </w:r>
    </w:p>
    <w:p>
      <w:r>
        <w:t>a) zwiększenie konkurencyjności Unii dzięki dobrze prosperującemu rynkowi wewnętrznemu, postępowi innowacji oraz wzmocnieniu unijnej produkcji i czystej bazy przemysłowej;</w:t>
      </w:r>
    </w:p>
    <w:p>
      <w:r>
        <w:t>b) osiągnięcia celów środowiskowych i klimatycznych Unii;</w:t>
      </w:r>
    </w:p>
    <w:p>
      <w:r>
        <w:t>dążenie do sprawiedliwości społecznej, sprawiedliwych warunków pracy i społeczeństwa integracyjnego, w tym wspieranego przez dialog społeczny;</w:t>
      </w:r>
    </w:p>
    <w:p>
      <w:r>
        <w:t>d) bezpieczeństwa, ochrony, odporności i bezpieczeństwa gospodarczego Unii, w tym poprzez strategiczną niezależność.</w:t>
      </w:r>
    </w:p>
    <w:p>
      <w:pPr>
        <w:pStyle w:val="Heading3"/>
        <w:jc w:val="center"/>
      </w:pPr>
      <w:r>
        <w:t>Artykuł 6</w:t>
      </w:r>
    </w:p>
    <w:p>
      <w:pPr>
        <w:pStyle w:val="Heading4"/>
        <w:jc w:val="center"/>
      </w:pPr>
      <w:r>
        <w:t>Definicje</w:t>
      </w:r>
    </w:p>
    <w:p>
      <w:r>
        <w:t>Do celów niniejszego rozporządzenia stosuje się następujące definicje:</w:t>
      </w:r>
    </w:p>
    <w:p>
      <w:r>
        <w:t>1) „informacje niejawne” oznaczają wszelkie informacje lub materiały, niezależnie od formy, charakteru lub sposobu ich przekazania, którym nadano określony poziom klauzuli tajności lub ochrony i które – w interesie bezpieczeństwa narodowego i zgodnie z przepisami ustawowymi, wykonawczymi lub administracyjnymi obowiązującymi w danym państwie członkowskim – wymagają ochrony przed sprzeniewierzeniem, zniszczeniem, usunięciem, ujawnieniem, utratą lub dostępem ze strony jakiejkolwiek nieupoważnionej osoby lub jakimkolwiek innym zagrożeniem;</w:t>
      </w:r>
    </w:p>
    <w:p>
      <w:r>
        <w:t>2) „dzień” oznacza dzień kalendarzowy;</w:t>
      </w:r>
    </w:p>
    <w:p>
      <w:r>
        <w:t>3) „narzędzie cyfrowych poświadczeń biznesowych” oznacza narzędzie cyfrowe umożliwiające weryfikację, wymianę i przechowywanie dowodów związanych z podstawami wykluczenia, kryteriami kwalifikacji, pochodzeniem i innymi wymogami określonymi zgodnie z niniejszym rozporządzeniem w postępowaniu o udzielenie zamówienia i dostępne za pośrednictwem tego narzędzia;</w:t>
      </w:r>
    </w:p>
    <w:p>
      <w:r>
        <w:t>4) „wykonawca” oznacza każdą osobę fizyczną lub prawną, podmiot publiczny lub grupę takich osób lub podmiotów, takie jak spółki joint venture, konsorcja lub inne, w tym tymczasowe stowarzyszenia nieposiadające osobowości prawnej, które oferują na rynku wykonanie obiektu budowlanego lub robót budowlanych, dostawę produktów lub świadczenie usług;</w:t>
      </w:r>
    </w:p>
    <w:p>
      <w:r>
        <w:t>5) „profil kwalifikowalności” oznacza zbiorczy dokument wygenerowany przez elektroniczną usługę kwalifikowalności, o której mowa w art. 133, zawierający informacje na temat wykonawcy, w tym informacje dotyczące jego zgodności z podstawami wykluczenia, kryteriami kwalifikacji i pochodzeniem;</w:t>
      </w:r>
    </w:p>
    <w:p>
      <w:r>
        <w:t>6) „platforma e-zamówień” oznacza narzędzie cyfrowe, które umożliwia komunikację elektroniczną między nabywcami publicznymi a wykonawcami za pośrednictwem sieci interoperacyjności;</w:t>
      </w:r>
    </w:p>
    <w:p>
      <w:r>
        <w:t>7) „dostawca usług e-zamówień” oznacza wykonawca, który zapewnia platformę e-zamówień;</w:t>
      </w:r>
    </w:p>
    <w:p>
      <w:r>
        <w:t>8) „wymóg funkcjonalny” oznacza wymóg opisujący wydajność, pożądaną funkcję, zdolność, rezultat lub rezultat, które mają zostać osiągnięte przez roboty budowlane, produkty lub usługi, bez odnoszenia się do konkretnych środków technicznych, projektu lub metod, za pomocą których te funkcje lub rezultaty są osiągane;</w:t>
      </w:r>
    </w:p>
    <w:p>
      <w:r>
        <w:t>9) „norma zharmonizowana” oznacza normę zharmonizowaną zdefiniowaną w art. 2 pkt 1 lit. c) rozporządzenia (UE) nr 1025/2012[25];</w:t>
      </w:r>
    </w:p>
    <w:p>
      <w:r>
        <w:t>10) „zamówienie pracochłonne” oznacza zamówienie, którego przedmiot stanowi zazwyczaj co najmniej 50 % całkowitej wartości zamówienia;</w:t>
      </w:r>
    </w:p>
    <w:p>
      <w:r>
        <w:t>11) „cykl życia” oznacza wszystkie możliwe kolejne lub powiązane ze sobą etapy, łącznie z pracami badawczo-rozwojowymi, które mają zostać przeprowadzone, produkcją, handlem i jego warunkami, transportem, użytkowaniem i konserwacją, przez cały okres istnienia produktu, robót budowlanych lub usług, od nabycia surowców lub wytworzenia zasobów po unieszkodliwienie, oczyszczenie i zakończenie obsługi lub użytkowania;</w:t>
      </w:r>
    </w:p>
    <w:p>
      <w:r>
        <w:t>12) „mikroprzedsiębiorstwo, małe lub średnie przedsiębiorstwo” (MŚP) oznacza mikroprzedsiębiorstwo, małe lub średnie przedsiębiorstwo zdefiniowane w załączniku do zalecenia Komisji 2003/361/WE[26];</w:t>
      </w:r>
    </w:p>
    <w:p>
      <w:r>
        <w:t>13) „przedkomercyjne zamówienie publiczne” oznacza zamówienie na usługi badawcze i rozwojowe, które obejmuje podział ryzyka i korzyści na warunkach rynkowych oraz rozwój konkurencyjny w etapach;</w:t>
      </w:r>
    </w:p>
    <w:p>
      <w:r>
        <w:t>14) „szczegóły zamówienia” oznaczają wszelkie informacje, które wytworzył lub do których odwołuje się nabywca publiczny w celu opisania elementów zamówienia przed udzieleniem zamówienia, w tym publiczne podsumowania, specyfikacje techniczne, projekt umowy, wzory do prezentacji informacji przez wykonawców, informacje na temat mających ogólne zastosowanie obowiązków oraz wszelkie dodatkowe informacje;</w:t>
      </w:r>
    </w:p>
    <w:p>
      <w:r>
        <w:t>15) „informacje o zamówieniu” oznaczają wszelkie dane dostarczone przez nabywcę publicznego obejmujące pełny cykl życia zamówienia, w tym przed udzieleniem zamówienia i po jego udzieleniu;</w:t>
      </w:r>
    </w:p>
    <w:p>
      <w:r>
        <w:t>16) „zamówienia na usługi badawczo-rozwojowe” („zamówienia w zakresie badań i rozwoju”) oznaczają zamówienia na badania podstawowe, badania przemysłowe i eksperymentalne prace rozwojowe aż do etapu pierwotnego rozwoju. Pierwotne opracowanie pierwszego produktu, usługi lub obiektu budowlanego może obejmować ograniczoną produkcję lub dostawę w celu uwzględnienia wyników badań terenowych i wykazania, że dany produkt, usługa lub obiekt budowlany nadaje się do produkcji lub dostawy w ilości odpowiadającej akceptowalnym normom jakości, ale nie obejmuje produkcji lub dostawy seryjnej w celu osiągnięcia rentowności rynkowej lub odzyskania kosztów badań i rozwoju. Zamówienia na badania i rozwój mogą obejmować uzyskanie własności prototypów lub pierwszych produktów, usług lub robót budowlanych, które są opracowywane na wniosek nabywcy publicznego w trakcie i na potrzeby konkretnego zamówienia na usługi badawczo-rozwojowe, ale nie obejmują komercyjnego wdrożenia produktów końcowych, usług lub robót budowlanych.</w:t>
      </w:r>
    </w:p>
    <w:p>
      <w:r>
        <w:t>17) „nabywca publiczny” oznacza instytucję zamawiającą zgodnie z art. 7 lub podmiot zamawiający zgodnie z art. 8;</w:t>
      </w:r>
    </w:p>
    <w:p>
      <w:r>
        <w:t>18) „zamówienie publiczne” oznacza umowę o charakterze odpłatnym zawartą na piśmie pomiędzy co najmniej jednym wykonawcą a co najmniej jednym nabywcą publicznym, której przedmiotem jest wykonanie robót budowlanych, dostawa produktów lub świadczenie usług;</w:t>
      </w:r>
    </w:p>
    <w:p>
      <w:r>
        <w:t>19) „zamówienia publiczne na usługi” oznaczają zamówienia publiczne, których przedmiotem jest świadczenie usług innych niż te, o których mowa w pkt 22;</w:t>
      </w:r>
    </w:p>
    <w:p>
      <w:r>
        <w:t>20) „publiczne podsumowanie” oznacza przegląd zamówienia w danym czasie opublikowany przez nabywcę publicznego;</w:t>
      </w:r>
    </w:p>
    <w:p>
      <w:r>
        <w:t>21) „zamówienie publiczne na dostawy” oznacza zamówienie publiczne, którego przedmiotem jest zakup, dzierżawa, najem lub leasing, z opcją zakupu lub bez takiej opcji, produktów. Produkty mogą być nowe, używane, odnowione, przerobione i produkt jako usługa. Zamówienie publiczne na dostawy może obejmować dodatkowo rozmieszczenie i instalację;</w:t>
      </w:r>
    </w:p>
    <w:p>
      <w:r>
        <w:t>22) „zamówienie publiczne na roboty budowlane” oznacza zamówienie publiczne, którego przedmiotem jest jedno z poniższych:</w:t>
      </w:r>
    </w:p>
    <w:p>
      <w:r>
        <w:t>a) wykonanie lub zarówno zaprojektowanie, jak i wykonanie robót budowlanych związanych z jednym z rodzajów działalności w rozumieniu załącznika V;</w:t>
      </w:r>
    </w:p>
    <w:p>
      <w:r>
        <w:t>b) wykonanie lub zarówno zaprojektowanie, jak i wykonanie obiektu budowlanego;</w:t>
      </w:r>
    </w:p>
    <w:p>
      <w:r>
        <w:t>realizacja, za pomocą dowolnych środków, obiektu budowlanego odpowiadającego wymogom określonym przez instytucję zamawiającą mającą decydujący wpływ na rodzaj lub projekt obiektu budowlanego;</w:t>
      </w:r>
    </w:p>
    <w:p>
      <w:r>
        <w:t>23) „wyzwanie społeczne” oznacza rozwój sytuacji lub sytuację, które mają wpływ na skuteczne i efektywne wykonywanie zadań publicznych, wpływając na funkcjonowanie danego nabywcy publicznego lub danych nabywców publicznych lub osób, które korzystają z tych usług;</w:t>
      </w:r>
    </w:p>
    <w:p>
      <w:r>
        <w:t>24) „propozycja innowacyjnego rozwiązania” oznacza propozycję wykonawcy przedstawiającą jego innowacyjne podejście do sprostania wyzwaniu społecznemu, w tym związane z tym ryzyko, potencjalny wpływ i korzyści, a także wizję opracowania, testowania i wdrożenia innowacyjnego rozwiązania we współpracy z nabywcą publicznym;</w:t>
      </w:r>
    </w:p>
    <w:p>
      <w:r>
        <w:t>25) „podwykonawca” oznacza wykonawcę, który w drodze umowy przejmuje odpowiedzialność za wykonanie części zamówienia publicznego – z wyłączeniem samego dostarczenia towarów lub części niezbędnych do wykonania robót budowlanych lub świadczenia usług – od wykonawcy, któremu udzielono takiego zamówienia publicznego;</w:t>
      </w:r>
    </w:p>
    <w:p>
      <w:r>
        <w:t>26) „przedmiot zamówienia” oznacza roboty budowlane, usługi lub dostawy, które nabywca publiczny zamierza nabyć w drodze zamówienia w celu zaspokojenia swoich potrzeb;</w:t>
      </w:r>
    </w:p>
    <w:p>
      <w:r>
        <w:t>27) „obiekt budowlany” oznacza wynik całości robót budowlanych w zakresie budownictwa lub inżynierii lądowej i wodnej, który może samoistnie spełniać funkcję gospodarczą lub techniczną.</w:t>
      </w:r>
    </w:p>
    <w:p>
      <w:r>
        <w:rPr>
          <w:sz w:val="16"/>
        </w:rPr>
        <w:t>25 Rozporządzenie Parlamentu Europejskiego i Rady (UE) nr 1025/2012 z dnia 25 października 2012 r. w sprawie normalizacji europejskiej, zmieniające dyrektywy Rady 89/686/EWG i 93/15/EWG oraz dyrektywy Parlamentu Europejskiego i Rady 94/9/WE, 94/25/WE, 95/16/WE, 97/23/WE, 98/34/WE, 2004/22/WE, 2007/23/WE, 2009/23/WE i 2009/105/WE oraz uchylające decyzję Rady 87/95/EWG i decyzję Parlamentu Europejskiego i Rady nr 1673/2006/WE (Dz.U. L 316 z 14.11.2012, s. 12, ELI: http://data.europa.eu/eli/reg/2012/1025/oj).</w:t>
      </w:r>
    </w:p>
    <w:p>
      <w:r>
        <w:rPr>
          <w:sz w:val="16"/>
        </w:rPr>
        <w:t>26 Zalecenie Komisji z dnia 6 maja 2003 r. dotyczące definicji mikroprzedsiębiorstw oraz małych i średnich przedsiębiorstw (notyfikowane jako dokument nr C (2003) 1422), (Dz.U. L 124 z 20.5.2003, s. 36, ELI: http://data.europa.eu/eli/reco/2003/361/oj)</w:t>
      </w:r>
    </w:p>
    <w:p>
      <w:pPr>
        <w:pStyle w:val="Heading2"/>
        <w:jc w:val="center"/>
      </w:pPr>
      <w:r>
        <w:t>Część II</w:t>
      </w:r>
    </w:p>
    <w:p>
      <w:pPr>
        <w:pStyle w:val="Heading2"/>
        <w:jc w:val="center"/>
      </w:pPr>
      <w:r>
        <w:t>Podmioty objęte rozporządzeniem</w:t>
      </w:r>
    </w:p>
    <w:p>
      <w:pPr>
        <w:pStyle w:val="Heading2"/>
        <w:jc w:val="center"/>
      </w:pPr>
      <w:r>
        <w:t>Tytuł I</w:t>
      </w:r>
    </w:p>
    <w:p>
      <w:pPr>
        <w:pStyle w:val="Heading2"/>
        <w:jc w:val="center"/>
      </w:pPr>
      <w:r>
        <w:t>Nabywcy publiczni</w:t>
      </w:r>
    </w:p>
    <w:p>
      <w:pPr>
        <w:pStyle w:val="Heading2"/>
        <w:jc w:val="center"/>
      </w:pPr>
      <w:r>
        <w:t>Rozdział 1</w:t>
      </w:r>
    </w:p>
    <w:p>
      <w:pPr>
        <w:pStyle w:val="Heading2"/>
        <w:jc w:val="center"/>
      </w:pPr>
      <w:r>
        <w:t>Identyfikacja nabywców publicznych</w:t>
      </w:r>
    </w:p>
    <w:p>
      <w:pPr>
        <w:pStyle w:val="Heading3"/>
        <w:jc w:val="center"/>
      </w:pPr>
      <w:r>
        <w:t>Artykuł 7</w:t>
      </w:r>
    </w:p>
    <w:p>
      <w:pPr>
        <w:pStyle w:val="Heading4"/>
        <w:jc w:val="center"/>
      </w:pPr>
      <w:r>
        <w:t>Instytucje zamawiające</w:t>
      </w:r>
    </w:p>
    <w:p>
      <w:r>
        <w:t>1. Do celów niniejszego rozporządzenia instytucjami zamawiającymi są instytucje administracji centralnej, instytucje administracji poniżej szczebla centralnego, podmioty prawa publicznego lub związki złożone z co najmniej jednej takiej instytucji zamawiającej, niezależnie od tego, czy postępowanie o udzielenie zamówienia jest prowadzone przez co najmniej jedną konkretną jednostkę administracyjną w ich obrębie.</w:t>
      </w:r>
    </w:p>
    <w:p>
      <w:r>
        <w:t>2. Do celów niniejszego rozporządzenia organami administracji centralnej są organy wymienione w załączniku I oraz, o ile na szczeblu krajowym wprowadzono poprawki lub zmiany, podmioty będące następcami tych organów.</w:t>
      </w:r>
    </w:p>
    <w:p>
      <w:r>
        <w:t>W przypadku wprowadzenia korekt lub zmian na szczeblu krajowym państwa członkowskie powiadamiają o tym Komisję w terminie trzech miesięcy.</w:t>
      </w:r>
    </w:p>
    <w:p>
      <w:r>
        <w:t>3. Instytucje rządowe poniżej szczebla centralnego oznaczają którekolwiek z poniższych:</w:t>
      </w:r>
    </w:p>
    <w:p>
      <w:r>
        <w:t>a) Organy państwowe, regionalne lub lokalne inne niż wymienione w załączniku I;</w:t>
      </w:r>
    </w:p>
    <w:p>
      <w:r>
        <w:t>b) centralne jednostki zakupujące, które same nie są centralnymi organami rządowymi;</w:t>
      </w:r>
    </w:p>
    <w:p>
      <w:r>
        <w:t>podmioty prawa publicznego określone w ust. 4.</w:t>
      </w:r>
    </w:p>
    <w:p>
      <w:r>
        <w:t>4. Do celów niniejszego rozporządzenia podmiotami prawa publicznego są podmioty, które spełniają wszystkie następujące warunki:</w:t>
      </w:r>
    </w:p>
    <w:p>
      <w:r>
        <w:t>mają szczególny cel zaspokajania potrzeb w interesie ogólnym i nie mają charakteru przemysłowego ani handlowego;</w:t>
      </w:r>
    </w:p>
    <w:p>
      <w:r>
        <w:t>b) posiadają osobowość prawną;</w:t>
      </w:r>
    </w:p>
    <w:p>
      <w:r>
        <w:t>są finansowane w ponad 50 % przez państwo, władze regionalne lub lokalne lub inne podmioty prawa publicznego; lub podlegają zarządzaniu i nadzorowi ze strony tych władz lub organów; lub posiadają radę administracyjną, zarządzającą lub nadzorczą, w przypadku gdy ponad połowa ich członków jest powoływana przez państwo, władze regionalne lub lokalne lub przez inne podmioty prawa publicznego.</w:t>
      </w:r>
    </w:p>
    <w:p>
      <w:r>
        <w:t>5. Komisja jest uprawniona do przyjmowania aktów delegowanych zgodnie z art. 141 w celu zmiany załącznika I poprzez aktualizację wykazu organów administracji centralnej na podstawie powiadomień otrzymanych od państw członkowskich zgodnie z ust. 2 niniejszego artykułu.</w:t>
      </w:r>
    </w:p>
    <w:p>
      <w:pPr>
        <w:pStyle w:val="Heading3"/>
        <w:jc w:val="center"/>
      </w:pPr>
      <w:r>
        <w:t>Artykuł 8</w:t>
      </w:r>
    </w:p>
    <w:p>
      <w:pPr>
        <w:pStyle w:val="Heading4"/>
        <w:jc w:val="center"/>
      </w:pPr>
      <w:r>
        <w:t>Podmioty zamawiające</w:t>
      </w:r>
    </w:p>
    <w:p>
      <w:r>
        <w:t>1. Do celów niniejszego rozporządzenia podmiotami zamawiającymi są instytucje zamawiające, przedsiębiorstwa publiczne oraz podmioty, które działają na podstawie praw specjalnych lub wyłącznych i które prowadzą co najmniej jeden z rodzajów działalności, o których mowa w art. 12–18, lub dowolne ich połączenie, chyba że działalność ta bezpośrednio podlega konkurencji na rynkach, do których dostęp nie jest ograniczony w rozumieniu art. 19.</w:t>
      </w:r>
    </w:p>
    <w:p>
      <w:r>
        <w:t>2. Przedsiębiorstwem publicznym jest każde przedsiębiorstwo, na które jedna lub więcej instytucji zamawiających może wywierać, bezpośrednio lub pośrednio, dominujący wpływ z racji bycia jego właścicielem, posiadania w nim udziału finansowego lub ze względu na zasady, które nim rządzą.</w:t>
      </w:r>
    </w:p>
    <w:p>
      <w:r>
        <w:t>Domniemywa się, że instytucje zamawiające wywierają dominujący wpływ w każdym z następujących przypadków, gdy bezpośrednio lub pośrednio:</w:t>
      </w:r>
    </w:p>
    <w:p>
      <w:r>
        <w:t>posiadają większość subskrybowanego kapitału przedsiębiorstwa;</w:t>
      </w:r>
    </w:p>
    <w:p>
      <w:r>
        <w:t>kontrolują większość głosów przypadających na akcje wyemitowane przez przedsiębiorstwo;</w:t>
      </w:r>
    </w:p>
    <w:p>
      <w:r>
        <w:t>może powołać ponad połowę członków organu administrującego, zarządzającego lub nadzorczego przedsiębiorstwa.</w:t>
      </w:r>
    </w:p>
    <w:p>
      <w:r>
        <w:t>3. Do celów niniejszego rozporządzenia prawa specjalne lub wyłączne oznaczają prawa przyznane przez właściwy organ państwa członkowskiego w drodze dowolnych przepisów ustawowych, wykonawczych lub administracyjnych, których skutkiem jest ograniczenie prowadzenia działalności, o której mowa w art. 12–18, do jednego podmiotu lub większej ich liczby oraz które znacząco wpływają na zdolność innych podmiotów do prowadzenia takiej działalności.</w:t>
      </w:r>
    </w:p>
    <w:p>
      <w:r>
        <w:t>Prawa, które przyznano w drodze procedury zapewniającej odpowiednie upublicznienie postępowania i których przyznanie opierało się na obiektywnych kryteriach, nie stanowią „praw specjalnych lub wyłącznych” w rozumieniu akapitu pierwszego.</w:t>
      </w:r>
    </w:p>
    <w:p>
      <w:r>
        <w:t>Procedury, o których mowa w akapicie drugim, obejmują między innymi:</w:t>
      </w:r>
    </w:p>
    <w:p>
      <w:r>
        <w:t>a) postępowań o udzielenie zamówienia z uprzednim zaproszeniem do ubiegania się o zamówienie zgodnie z dyrektywą 2009/81/WE[27] lub publicznym podsumowaniem warunków konkurencji zgodnie z niniejszym rozporządzeniem;</w:t>
      </w:r>
    </w:p>
    <w:p>
      <w:r>
        <w:t>b) procedur na podstawie innych aktów prawnych Unii, które zapewniają odpowiednią uprzednią przejrzystość w zakresie udzielania zezwoleń na podstawie obiektywnych kryteriów, w tym między innymi procedur na podstawie aktów prawnych Unii wymienionych w załączniku III.</w:t>
      </w:r>
    </w:p>
    <w:p>
      <w:r>
        <w:rPr>
          <w:sz w:val="16"/>
        </w:rPr>
        <w:t>27 Dyrektywa Parlamentu Europejskiego i Rady 2009/81/WE z dnia 13 lipca 2009 r. w sprawie koordynacji procedur udzielania niektórych zamówień na roboty budowlane, dostawy i usługi przez instytucje lub podmioty zamawiające w dziedzinach obronności i bezpieczeństwa i zmieniająca dyrektywy 2004/17/WE i 2004/18/WE (Dz.U. L 216 z 20.8.2009, s. 76, ELI: http://data.europa.eu/eli/dir/2009/81/oj).</w:t>
      </w:r>
    </w:p>
    <w:p>
      <w:pPr>
        <w:pStyle w:val="Heading3"/>
        <w:jc w:val="center"/>
      </w:pPr>
      <w:r>
        <w:t>Artykuł 9</w:t>
      </w:r>
    </w:p>
    <w:p>
      <w:pPr>
        <w:pStyle w:val="Heading4"/>
        <w:jc w:val="center"/>
      </w:pPr>
      <w:r>
        <w:t>Centralne jednostki zakupujące</w:t>
      </w:r>
    </w:p>
    <w:p>
      <w:r>
        <w:t>1. Nabywcy publiczni mogą organizować swoje działania związane z zamówieniami publicznymi poprzez tworzenie centralnych jednostek zakupujących i korzystanie z nich zgodnie z zasadami określonymi w niniejszym artykule.</w:t>
      </w:r>
    </w:p>
    <w:p>
      <w:r>
        <w:t>2. Do celów niniejszego rozporządzenia centralne jednostki zakupujące oznaczają każdego nabywcę publicznego prowadzącego następujące działania:</w:t>
      </w:r>
    </w:p>
    <w:p>
      <w:r>
        <w:t>a) działanie w charakterze hurtownika poprzez zakup i odsprzedaż rozwiązań zakupionych na rynku dla nabywców publicznych;</w:t>
      </w:r>
    </w:p>
    <w:p>
      <w:r>
        <w:t>działanie w charakterze pośrednika poprzez publikowanie podsumowań i udzielanie zamówień dla nabywców publicznych;</w:t>
      </w:r>
    </w:p>
    <w:p>
      <w:r>
        <w:t>Oprócz działań określonych powyżej centralne jednostki zakupujące mogą również prowadzić działania w zakresie wspólnego udzielania zamówień lub brać w nich udział, lub świadczyć pomocnicze usługi wsparcia zakupów na rzecz nabywców publicznych, w tym pomoc techniczną, infrastrukturę techniczną lub doradztwo.</w:t>
      </w:r>
    </w:p>
    <w:p>
      <w:r>
        <w:t>3. Nabywcy publiczni wskazują w podsumowaniach publicznych zgodnie z art. 110, kiedy działają jako centralna jednostka zakupująca.</w:t>
      </w:r>
    </w:p>
    <w:p>
      <w:r>
        <w:t>4. Każdy nabywca publiczny może nabywać rozwiązania od dowolnej centralnej jednostki zakupującej mającej siedzibę w Unii lub za jej pośrednictwem bez stosowania procedur określonych w niniejszym rozporządzeniu w odniesieniu do świadczenia usług przez centralną jednostkę zakupującą.</w:t>
      </w:r>
    </w:p>
    <w:p>
      <w:r>
        <w:t>5. Uznaje się, że nabywca publiczny nabywający rozwiązanie od centralnej jednostki zakupującej lub za pośrednictwem centralnej jednostki zakupującej, do której w odniesieniu do tego rozwiązania był zobowiązany i która stosowała niniejsze rozporządzenie, spełnia wymogi niniejszego rozporządzenia w odniesieniu do zamówienia dotyczącego tego rozwiązania.</w:t>
      </w:r>
    </w:p>
    <w:p>
      <w:r>
        <w:t>6. Uznaje się, że nabywca publiczny nabywający rozwiązanie od instytucji, organu lub jednostki organizacyjnej Unii, które realizują wspólne zamówienia, działają w imieniu państw członkowskich lub działają jako centralna jednostka zakupująca zgodnie z rozporządzeniem (UE, Euratom) 2024/2509[28] lub innymi aktami prawnymi Unii innymi niż niniejsze rozporządzenie, które przewidują realizację wspólnego zamówienia, lub działający w imieniu państw członkowskich lub jako centralna jednostka zakupująca, lub za pośrednictwem takich instytucji, organów lub jednostek, spełnia wymogi niniejszego rozporządzenia w odniesieniu do zamówień dotyczących tego rozwiązania.</w:t>
      </w:r>
    </w:p>
    <w:p>
      <w:r>
        <w:rPr>
          <w:sz w:val="16"/>
        </w:rPr>
        <w:t>28 Rozporządzenie Parlamentu Europejskiego i Rady (UE, Euratom) 2024/2509 z dnia 23 września 2024 r. w sprawie zasad finansowych mających zastosowanie do budżetu ogólnego Unii (wersja przekształcona), Dz.U. L, 2024/2509, 26.9.2024, ELI: http://data.europa.eu/eli/reg/2024/2509/oj).</w:t>
      </w:r>
    </w:p>
    <w:p>
      <w:pPr>
        <w:pStyle w:val="Heading3"/>
        <w:jc w:val="center"/>
      </w:pPr>
      <w:r>
        <w:t>Artykuł 10</w:t>
      </w:r>
    </w:p>
    <w:p>
      <w:pPr>
        <w:pStyle w:val="Heading4"/>
        <w:jc w:val="center"/>
      </w:pPr>
      <w:r>
        <w:t>Wspólne zamówienia</w:t>
      </w:r>
    </w:p>
    <w:p>
      <w:r>
        <w:t>1. Dwaj nabywcy publiczni lub większa ich liczba, w tym nabywcy z różnych państw członkowskich, mogą działać wspólnie przy udzielaniu niektórych konkretnych zamówień publicznych.</w:t>
      </w:r>
    </w:p>
    <w:p>
      <w:r>
        <w:t>2. Wspólne postępowanie o udzielenie zamówienia jest regulowane umową między stronami, w której określa się między innymi:</w:t>
      </w:r>
    </w:p>
    <w:p>
      <w:r>
        <w:t>a) odpowiednie obowiązki zainteresowanych stron, odpowiedzialność za zarządzanie wspólną procedurą, podział robót budowlanych, dostaw lub usług, które mają być wspólnie zamawiane, lub prawa, które mają zostać przeniesione; oraz</w:t>
      </w:r>
    </w:p>
    <w:p>
      <w:r>
        <w:t>w przypadku gdy nabywcy publiczni pochodzą z różnych państw członkowskich – system prawny regulujący procedurę, a w konsekwencji przepisy mające zastosowanie do sporów, właściwy organ odwoławczy i właściwą jurysdykcję oraz prawo regulujące wynikające z niej zamówienia publiczne.</w:t>
      </w:r>
    </w:p>
    <w:p>
      <w:r>
        <w:t>Podział obowiązków i mające zastosowanie prawo krajowe określa się w szczegółach zamówienia dotyczących wspólnie udzielanych zamówień publicznych.</w:t>
      </w:r>
    </w:p>
    <w:p>
      <w:r>
        <w:t>3. Niniejszy artykuł pozostaje bez uszczerbku dla art. 9 ust. 6 i art. 69 ust. 3 lit. f) niniejszego rozporządzenia oraz art. 168 ust. 2 i 3 rozporządzenia (UE, Euratom) 2024/2509 lub innych aktów prawnych Unii.</w:t>
      </w:r>
    </w:p>
    <w:p>
      <w:pPr>
        <w:pStyle w:val="Heading2"/>
        <w:jc w:val="center"/>
      </w:pPr>
      <w:r>
        <w:t>Rozdział 2</w:t>
      </w:r>
    </w:p>
    <w:p>
      <w:pPr>
        <w:pStyle w:val="Heading2"/>
        <w:jc w:val="center"/>
      </w:pPr>
      <w:r>
        <w:t>Działalność w sektorach użyteczności publicznej</w:t>
      </w:r>
    </w:p>
    <w:p>
      <w:pPr>
        <w:pStyle w:val="Heading2"/>
        <w:jc w:val="center"/>
      </w:pPr>
      <w:r>
        <w:t>Sekcja 1</w:t>
      </w:r>
    </w:p>
    <w:p>
      <w:pPr>
        <w:pStyle w:val="Heading2"/>
        <w:jc w:val="center"/>
      </w:pPr>
      <w:r>
        <w:t>OBJĘTE RODZAJE DZIAŁALNOŚCI</w:t>
      </w:r>
    </w:p>
    <w:p>
      <w:pPr>
        <w:pStyle w:val="Heading3"/>
        <w:jc w:val="center"/>
      </w:pPr>
      <w:r>
        <w:t>Artykuł 11</w:t>
      </w:r>
    </w:p>
    <w:p>
      <w:pPr>
        <w:pStyle w:val="Heading4"/>
        <w:jc w:val="center"/>
      </w:pPr>
      <w:r>
        <w:t>Przepisy wspólne</w:t>
      </w:r>
    </w:p>
    <w:p>
      <w:r>
        <w:t>1. Do celów art. 12, 13 i 14 „dostawa” obejmuje wytwarzanie lub produkcję, sprzedaż hurtową i detaliczną.</w:t>
      </w:r>
    </w:p>
    <w:p>
      <w:r>
        <w:t>2. Produkcja gazu w formie wydobycia wchodzi w zakres stosowania art. 18.</w:t>
      </w:r>
    </w:p>
    <w:p>
      <w:pPr>
        <w:pStyle w:val="Heading3"/>
        <w:jc w:val="center"/>
      </w:pPr>
      <w:r>
        <w:t>Artykuł 12</w:t>
      </w:r>
    </w:p>
    <w:p>
      <w:pPr>
        <w:pStyle w:val="Heading4"/>
        <w:jc w:val="center"/>
      </w:pPr>
      <w:r>
        <w:t>Gaz i ciepło</w:t>
      </w:r>
    </w:p>
    <w:p>
      <w:r>
        <w:t>1. W odniesieniu do gazu i ciepła niniejsze rozporządzenie ma zastosowanie do następujących rodzajów działalności:</w:t>
      </w:r>
    </w:p>
    <w:p>
      <w:r>
        <w:t>a) zapewnianie lub obsługa stałych sieci przeznaczonych do świadczenia usług dla odbiorców publicznych w związku z produkcją, transportem lub dystrybucją gazu lub energii cieplnej;</w:t>
      </w:r>
    </w:p>
    <w:p>
      <w:r>
        <w:t>b) dostawy gazu lub energii cieplnej do sieci, o których mowa w lit. a).</w:t>
      </w:r>
    </w:p>
    <w:p>
      <w:r>
        <w:t>2. Dostawy gazu lub energii cieplnej do stałych sieci zapewniających usługi dla odbiorców publicznych dokonywane przez podmiot zamawiający inny niż instytucja zamawiająca nie stanowią odpowiedniej działalności w rozumieniu ust. 1 niniejszego artykułu, jeżeli spełnione są oba następujące warunki:</w:t>
      </w:r>
    </w:p>
    <w:p>
      <w:r>
        <w:t>a) produkcja gazu lub energii cieplnej przez ten podmiot zamawiający jest nieuniknioną konsekwencją prowadzenia działalności innej niż ta, o której mowa w ust. 1 niniejszego artykułu lub w art. 13, 14 lub 15;</w:t>
      </w:r>
    </w:p>
    <w:p>
      <w:r>
        <w:t>b) dostawa do sieci publicznej ma na celu wyłącznie ekonomiczną eksploatację takiej produkcji i wynosi nie więcej niż 20 % obrotu podmiotu zamawiającego na podstawie średniej z trzech lat poprzedzających rok, w którym dokonywana jest dostawa.</w:t>
      </w:r>
    </w:p>
    <w:p>
      <w:pPr>
        <w:pStyle w:val="Heading3"/>
        <w:jc w:val="center"/>
      </w:pPr>
      <w:r>
        <w:t>Artykuł 13</w:t>
      </w:r>
    </w:p>
    <w:p>
      <w:pPr>
        <w:pStyle w:val="Heading4"/>
        <w:jc w:val="center"/>
      </w:pPr>
      <w:r>
        <w:t>Elektryczność</w:t>
      </w:r>
    </w:p>
    <w:p>
      <w:r>
        <w:t>1. W odniesieniu do energii elektrycznej niniejsze rozporządzenie ma zastosowanie do następujących rodzajów działalności:</w:t>
      </w:r>
    </w:p>
    <w:p>
      <w:r>
        <w:t>a) zapewnianie lub obsługa stałych sieci przeznaczonych do świadczenia usług dla odbiorców publicznych w związku z produkcją, przesyłem lub dystrybucją energii elektrycznej;</w:t>
      </w:r>
    </w:p>
    <w:p>
      <w:r>
        <w:t>b) dostawy energii elektrycznej do sieci, o których mowa w lit. a).</w:t>
      </w:r>
    </w:p>
    <w:p>
      <w:r>
        <w:t>2. Dostawy energii elektrycznej do stałych sieci zapewniających usługi dla odbiorców publicznych dokonywane przez podmiot zamawiający inny niż instytucja zamawiająca nie są uznawane za odpowiednią działalność w rozumieniu ust. 1 niniejszego artykułu, jeżeli spełnione są oba następujące warunki:</w:t>
      </w:r>
    </w:p>
    <w:p>
      <w:r>
        <w:t>a) produkcja energii elektrycznej przez ten podmiot zamawiający ma miejsce, ponieważ jego własne zużycie jest niezbędne do prowadzenia działalności innej niż ta, o której mowa w ust. 1 niniejszego artykułu lub w art. 12, 14 lub 15;</w:t>
      </w:r>
    </w:p>
    <w:p>
      <w:r>
        <w:t>b) dostawy do sieci publicznej zależą wyłącznie od własnego zużycia danego podmiotu zamawiającego i nie przekraczają 30 % całkowitej produkcji energii tego podmiotu zamawiającego, ustalonej na podstawie średniej z trzech lat poprzedzających rok, w którym dokonywana jest dostawa.</w:t>
      </w:r>
    </w:p>
    <w:p>
      <w:pPr>
        <w:pStyle w:val="Heading3"/>
        <w:jc w:val="center"/>
      </w:pPr>
      <w:r>
        <w:t>Artykuł 14</w:t>
      </w:r>
    </w:p>
    <w:p>
      <w:pPr>
        <w:pStyle w:val="Heading4"/>
        <w:jc w:val="center"/>
      </w:pPr>
      <w:r>
        <w:t>Woda</w:t>
      </w:r>
    </w:p>
    <w:p>
      <w:r>
        <w:t>1. W odniesieniu do wody niniejsze rozporządzenie ma zastosowanie do następujących rodzajów działalności:</w:t>
      </w:r>
    </w:p>
    <w:p>
      <w:r>
        <w:t>a) zapewnianie lub obsługa stałych sieci przeznaczonych do świadczenia usług dla odbiorców publicznych w związku z produkcją, transportem lub dystrybucją wody pitnej;</w:t>
      </w:r>
    </w:p>
    <w:p>
      <w:r>
        <w:t>b) dostarczanie wody pitnej do sieci, o których mowa w lit. a).</w:t>
      </w:r>
    </w:p>
    <w:p>
      <w:r>
        <w:t>2. Niniejsze rozporządzenie ma również zastosowanie do zamówień udzielanych przez podmioty zamawiające, które prowadzą działalność, o której mowa w ust. 1, i które są związane z jednym z następujących rodzajów działalności:</w:t>
      </w:r>
    </w:p>
    <w:p>
      <w:r>
        <w:t>a) projektów inżynierii wodnej, nawadniania lub odwadniania gruntów, pod warunkiem że ilość wody wykorzystywanej do dostarczania wody pitnej stanowi ponad 20 % całkowitej ilości wody udostępnionej w ramach takich projektów lub przez instalacje nawadniające lub odwadniające;</w:t>
      </w:r>
    </w:p>
    <w:p>
      <w:r>
        <w:t>b) usuwania lub oczyszczania ścieków.</w:t>
      </w:r>
    </w:p>
    <w:p>
      <w:r>
        <w:t>3. Dostawy wody pitnej do stałych sieci zapewniających usługi dla odbiorców publicznych dokonywane przez podmiot zamawiający inny niż instytucja zamawiająca nie są uznawane za odpowiednią działalność w rozumieniu ust. 1 niniejszego artykułu, jeżeli spełnione są oba następujące warunki:</w:t>
      </w:r>
    </w:p>
    <w:p>
      <w:r>
        <w:t>a) produkcja wody pitnej przez ten podmiot zamawiający ma miejsce, ponieważ jej zużycie przez ten podmiot zamawiający jest niezbędne do prowadzenia działalności innej niż ta, o której mowa w art. 14–17;</w:t>
      </w:r>
    </w:p>
    <w:p>
      <w:r>
        <w:t>b) dostawy do sieci publicznej zależą wyłącznie od własnego zużycia danego podmiotu zamawiającego i nie przekraczają 30 % całkowitej produkcji wody pitnej tego podmiotu zamawiającego, ustalonej na podstawie średniej z trzech lat poprzedzających rok, w którym dokonywana jest dostawa.</w:t>
      </w:r>
    </w:p>
    <w:p>
      <w:pPr>
        <w:pStyle w:val="Heading3"/>
        <w:jc w:val="center"/>
      </w:pPr>
      <w:r>
        <w:t>Artykuł 15</w:t>
      </w:r>
    </w:p>
    <w:p>
      <w:pPr>
        <w:pStyle w:val="Heading4"/>
        <w:jc w:val="center"/>
      </w:pPr>
      <w:r>
        <w:t>Usługi transportowe</w:t>
      </w:r>
    </w:p>
    <w:p>
      <w:r>
        <w:t>1. Niniejsze rozporządzenie ma zastosowanie do zapewniania lub eksploatacji sieci świadczących usługi dla odbiorców publicznych w dziedzinie transportu kolejowego, systemów automatycznych, tramwajów, trolejbusów, autobusów lub kolei linowych.</w:t>
      </w:r>
    </w:p>
    <w:p>
      <w:r>
        <w:t>2. Odnośnie do usług transportowych stwierdza się istnienie sieci, jeżeli usługi są świadczone zgodnie z warunkami określonymi przez właściwy organ państwa członkowskiego, takimi jak warunki na obsługiwanych trasach, wymagana zdolność przewozowa lub częstotliwość usług.</w:t>
      </w:r>
    </w:p>
    <w:p>
      <w:pPr>
        <w:pStyle w:val="Heading3"/>
        <w:jc w:val="center"/>
      </w:pPr>
      <w:r>
        <w:t>Artykuł 16</w:t>
      </w:r>
    </w:p>
    <w:p>
      <w:pPr>
        <w:pStyle w:val="Heading4"/>
        <w:jc w:val="center"/>
      </w:pPr>
      <w:r>
        <w:t>Porty i porty lotnicze</w:t>
      </w:r>
    </w:p>
    <w:p>
      <w:r>
        <w:t>Niniejsze rozporządzenie ma zastosowanie do eksploatacji obszaru geograficznego w celu udostępnienia portów lotniczych, morskich lub śródlądowych bądź innych terminali przewoźnikom lotniczym, morskim lub śródlądowym.</w:t>
      </w:r>
    </w:p>
    <w:p>
      <w:pPr>
        <w:pStyle w:val="Heading3"/>
        <w:jc w:val="center"/>
      </w:pPr>
      <w:r>
        <w:t>Artykuł 17</w:t>
      </w:r>
    </w:p>
    <w:p>
      <w:pPr>
        <w:pStyle w:val="Heading4"/>
        <w:jc w:val="center"/>
      </w:pPr>
      <w:r>
        <w:t>Usługi pocztowe</w:t>
      </w:r>
    </w:p>
    <w:p>
      <w:r>
        <w:t>1. Niniejsze rozporządzenie ma zastosowanie do działalności związanej ze świadczeniem następujących usług:</w:t>
      </w:r>
    </w:p>
    <w:p>
      <w:r>
        <w:t>usługi pocztowe;</w:t>
      </w:r>
    </w:p>
    <w:p>
      <w:r>
        <w:t>b) usług innych niż usługi pocztowe, pod warunkiem że takie usługi są świadczone przez podmiot, który świadczy również usługi pocztowe zdefiniowane w ust. 2 lit. b) niniejszego artykułu, oraz pod warunkiem że w odniesieniu do tych usług nie są spełnione warunki określone w art. 19.</w:t>
      </w:r>
    </w:p>
    <w:p>
      <w:r>
        <w:t>2. Do celów niniejszego artykułu i bez uszczerbku dla dyrektywy 97/67/WE[29] Parlamentu Europejskiego i Rady:</w:t>
      </w:r>
    </w:p>
    <w:p>
      <w:r>
        <w:t>a) „przesyłka pocztowa” oznacza przesyłkę opatrzoną adresem w ostatecznej formie, w jakiej ma być przewieziona, niezależnie od masy. Poza przesyłkami z korespondencją przesyłki takie obejmują również na przykład książki, katalogi, gazety, czasopisma i paczki pocztowe zawierające towar mający wartość handlową lub niemający takiej wartości, niezależnie od wagi;</w:t>
      </w:r>
    </w:p>
    <w:p>
      <w:r>
        <w:t>b) „usługi pocztowe” oznaczają usługi polegające na przyjmowaniu, sortowaniu, przekierowywaniu i doręczaniu przesyłek pocztowych, w tym usługi wchodzące zarówno w zakres obowiązku świadczenia usługi powszechnej przewidzianego w art. 3 dyrektywy 97/67/WE, jak i usługi nieobjęte tym obowiązkiem;</w:t>
      </w:r>
    </w:p>
    <w:p>
      <w:r>
        <w:t>c) „usługi inne niż usługi pocztowe” oznaczają usługi świadczone w następujących obszarach:</w:t>
      </w:r>
    </w:p>
    <w:p>
      <w:r>
        <w:t>i) usługi zarządzania usługami pocztowymi zarówno przed wysyłką, jak i po wysyłce, w tym usługi zarządzania kancelarią pocztową;</w:t>
      </w:r>
    </w:p>
    <w:p>
      <w:r>
        <w:t>ii) usług dotyczących przesyłek pocztowych niewymienionych w lit. a), takich jak bezpośrednie przesyłki pocztowe bez adresu.</w:t>
      </w:r>
    </w:p>
    <w:p>
      <w:r>
        <w:rPr>
          <w:sz w:val="16"/>
        </w:rPr>
        <w:t>29 Dyrektywa 97/67/WE Parlamentu Europejskiego i Rady z dnia 15 grudnia 1997 r. w sprawie wspólnych zasad rozwoju rynku wewnętrznego usług pocztowych Wspólnoty oraz poprawy jakości usług (Dz.U. L 15 z 21.1.1998, s. 14, ELI: http://data.europa.eu/eli/dir/1997/67/oj).</w:t>
      </w:r>
    </w:p>
    <w:p>
      <w:pPr>
        <w:pStyle w:val="Heading3"/>
        <w:jc w:val="center"/>
      </w:pPr>
      <w:r>
        <w:t>Artykuł 18</w:t>
      </w:r>
    </w:p>
    <w:p>
      <w:pPr>
        <w:pStyle w:val="Heading4"/>
        <w:jc w:val="center"/>
      </w:pPr>
      <w:r>
        <w:t>Wydobycie i poszukiwanie źródeł energii</w:t>
      </w:r>
    </w:p>
    <w:p>
      <w:r>
        <w:t>Niniejsze rozporządzenie stosuje się do eksploatacji obszaru geograficznego w celu:</w:t>
      </w:r>
    </w:p>
    <w:p>
      <w:r>
        <w:t>a) wydobywanie ropy naftowej lub gazu;</w:t>
      </w:r>
    </w:p>
    <w:p>
      <w:r>
        <w:t>b) poszukiwanie lub wydobycie węgla lub innych paliw stałych.</w:t>
      </w:r>
    </w:p>
    <w:p>
      <w:pPr>
        <w:pStyle w:val="Heading2"/>
        <w:jc w:val="center"/>
      </w:pPr>
      <w:r>
        <w:t>Sekcja 2</w:t>
      </w:r>
    </w:p>
    <w:p>
      <w:pPr>
        <w:pStyle w:val="Heading2"/>
        <w:jc w:val="center"/>
      </w:pPr>
      <w:r>
        <w:t>WYŁĄCZENIE NIEKTÓRYCH RODZAJÓW DZIAŁALNOŚCI SEKTOROWEJ</w:t>
      </w:r>
    </w:p>
    <w:p>
      <w:pPr>
        <w:pStyle w:val="Heading3"/>
        <w:jc w:val="center"/>
      </w:pPr>
      <w:r>
        <w:t>Artykuł 19</w:t>
      </w:r>
    </w:p>
    <w:p>
      <w:pPr>
        <w:pStyle w:val="Heading4"/>
        <w:jc w:val="center"/>
      </w:pPr>
      <w:r>
        <w:t>Rodzaje działalności bezpośrednio podlegające konkurencji</w:t>
      </w:r>
    </w:p>
    <w:p>
      <w:r>
        <w:t>1. Niniejsze rozporządzenie nie ma zastosowania do zamówień na prowadzenie rodzajów działalności wymienionych w art. 12–18 w odniesieniu do danego obszaru geograficznego, jeżeli dana działalność bezpośrednio podlega konkurencji na rynkach, do których dostęp nie jest ograniczony na tym obszarze geograficznym, w przypadku gdy jest to ustanowione w akcie wykonawczym przyjętym na podstawie art. 20 ust. 4.</w:t>
      </w:r>
    </w:p>
    <w:p>
      <w:r>
        <w:t>2. Do celów ust. 1 kwestię, czy dana działalność bezpośrednio podlega konkurencji, rozstrzyga się na podstawie kryteriów zgodnych z postanowieniami Traktatu dotyczącymi konkurencji i bez uszczerbku dla stosowania prawa konkurencji do sytuacji będącej przedmiotem decyzji. Wspomniane kryteria mogą obejmować:</w:t>
      </w:r>
    </w:p>
    <w:p>
      <w:r>
        <w:t>a) cechy danych produktów lub usług;</w:t>
      </w:r>
    </w:p>
    <w:p>
      <w:r>
        <w:t>b) istnienie alternatywnych produktów lub usług uznawanych za zastępowalne po stronie podaży lub popytu;</w:t>
      </w:r>
    </w:p>
    <w:p>
      <w:r>
        <w:t>c) ceny; oraz</w:t>
      </w:r>
    </w:p>
    <w:p>
      <w:r>
        <w:t>faktyczna lub potencjalna obecność na rynku właściwym więcej niż jednego dostawcy danych produktów lub usług.</w:t>
      </w:r>
    </w:p>
    <w:p>
      <w:r>
        <w:t>Dana działalność może stanowić część większego sektora lub być prowadzona wyłącznie w niektórych częściach terytorium Unii, w tym w niektórych częściach państw członkowskich.</w:t>
      </w:r>
    </w:p>
    <w:p>
      <w:r>
        <w:t>3. Obszar geograficzny, na podstawie którego ocenia się bezpośrednie podleganie konkurencji, obejmuje obszar, na którym zainteresowane przedsiębiorstwa uczestniczą w podaży i popycie na produkty lub usługi, na którym warunki konkurencji są wystarczająco jednolite i który można odróżnić od obszarów sąsiadujących, w szczególności ze względu na to, że warunki konkurencji na tych obszarach znacznie się różnią. W ocenie tej uwzględnia się przede wszystkim znaczne różnice w udziałach przedsiębiorstw w rynku oraz istnienie barier wejścia na rynek lub preferencji konsumentów. Uwzględnia ona również takie czynniki, jak charakter i cechy danych produktów lub usług oraz wszelkie istotne różnice cen między danym obszarem a obszarami sąsiednimi. Zasięg terytorialny obszaru, na podstawie którego ocenia się podleganie konkurencji, jest ograniczony do terytorium państwa członkowskiego.</w:t>
      </w:r>
    </w:p>
    <w:p>
      <w:r>
        <w:t>4. Do celów ust. 1 dostęp do rynku uznaje się za nieograniczony, jeżeli państwo członkowskie wdrożyło i stosuje akty prawne Unii wymienione w załączniku IV. W przeciwnym razie zostanie ustalone, że dostęp do danego rynku jest swobodny pod względem prawnym i faktycznym.</w:t>
      </w:r>
    </w:p>
    <w:p>
      <w:pPr>
        <w:pStyle w:val="Heading3"/>
        <w:jc w:val="center"/>
      </w:pPr>
      <w:r>
        <w:t>Artykuł 20</w:t>
      </w:r>
    </w:p>
    <w:p>
      <w:pPr>
        <w:pStyle w:val="Heading4"/>
        <w:jc w:val="center"/>
      </w:pPr>
      <w:r>
        <w:t>Procedura zwolnienia</w:t>
      </w:r>
    </w:p>
    <w:p>
      <w:r>
        <w:t>1. W przypadku gdy państwo członkowskie lub podmiot zamawiający uważa, że dana działalność bezpośrednio podlega konkurencji na rynkach, do których dostęp nie jest ograniczony, może przedłożyć Komisji, w ramach etapu przygotowawczego do ewentualnego formalnego wniosku o zwolnienie, wstępne pytanie dotyczące stosowalności art. 19 zgodnie z ust. 2 niniejszego artykułu lub bezpośrednio formalny wniosek o zwolnienie zgodnie z ust. 3 niniejszego artykułu w celu ustalenia, że dana działalność nie jest objęta niniejszym rozporządzeniem.</w:t>
      </w:r>
    </w:p>
    <w:p>
      <w:r>
        <w:t>2. Podczas fakultatywnej fazy przygotowawczej po przedłożeniu pytania wstępnego Komisja, w duchu lojalnej współpracy, przeprowadza wstępną ocenę warunków określonych w art. 19. Taka ocena opiera się na wszystkich informacjach istotnych dla tej działalności, które są już w posiadaniu Komisji lub są dla niej dostępne. W celu uzupełnienia informacji będących już w jej posiadaniu Komisja może zwrócić się o dodatkowe informacje do danego podmiotu zamawiającego lub państwa członkowskiego lub do dowolnej innej strony właściwej w odniesieniu do danej działalności i danego rynku. Komisja może zaprosić podmiot zamawiający, państwo członkowskie i inne zainteresowane strony do dalszej pisemnej lub ustnej wymiany informacji w celu zbadania, czy spełnione są warunki przyznania zwolnienia, w tym w odniesieniu do wyjaśnienia brakujących faktów, danych lub uzasadnienia.</w:t>
      </w:r>
    </w:p>
    <w:p>
      <w:r>
        <w:t>Komisja udziela odpowiedzi na pytanie dotyczące oceny wstępnej w terminie 180 dni kalendarzowych od jego przedłożenia. Jeżeli informacje zgromadzone podczas oceny pytania wstępnego są wystarczające, aby stwierdzić, że warunki określone w art. 19 zostały spełnione, Komisja kończy etap przygotowawczy, odstępuje od złożenia formalnego wniosku o zwolnienie i przyjmuje akt wykonawczy stwierdzający, że odnośna działalność została zwolniona zgodnie z ust. 4 niniejszego artykułu.</w:t>
      </w:r>
    </w:p>
    <w:p>
      <w:r>
        <w:t>Dane państwo członkowskie lub dany podmiot zamawiający może złożyć formalny wniosek w dowolnym momencie przed upływem okresu, o którym mowa w akapicie drugim.</w:t>
      </w:r>
    </w:p>
    <w:p>
      <w:r>
        <w:t>Jeżeli informacje zgromadzone podczas oceny pytania wstępnego nie są wystarczające do stwierdzenia, że warunki określone w art. 19 zostały spełnione, Komisja informuje o tym dane państwo członkowskie lub dany podmiot zamawiający, po czym państwo członkowskie lub podmiot zamawiający może podjąć decyzję o złożeniu formalnego wniosku o zwolnienie zgodnie z ust. 3 niniejszego artykułu.</w:t>
      </w:r>
    </w:p>
    <w:p>
      <w:r>
        <w:t>3. Po złożeniu formalnego wniosku o zwolnienie, bezpośrednio albo w następstwie niejednoznacznego, negatywnego lub częściowo negatywnego wyniku etapu przygotowawczego, Komisja przeprowadza pełną ocenę warunków określonych w art. 19. Formalny wniosek o zwolnienie obejmuje wszystkie istotne fakty, w szczególności informacje na temat wszelkich przepisów ustawowych, wykonawczych i administracyjnych lub umów dotyczących zgodności z tymi warunkami. Może ono obejmować stanowisko przyjęte przez niezależny organ krajowy, który jest właściwy w odniesieniu do danej działalności. Forma, treść i inne szczegóły wniosku o zwolnienie muszą być zgodne z wymogami określonymi w akcie wykonawczym na podstawie ust. 10 niniejszego artykułu.</w:t>
      </w:r>
    </w:p>
    <w:p>
      <w:r>
        <w:t>4. Po dokonaniu oceny przedłożonych informacji Komisja – w drodze aktów wykonawczych przyjętych w terminach określonych w akapicie drugim niniejszego ustępu – ustala na podstawie kryteriów określonych w art. 19, czy dana działalność bezpośrednio podlega konkurencji. Te akty wykonawcze przyjmuje się zgodnie z procedurą, o której mowa w art. 143 ust. 2.</w:t>
      </w:r>
    </w:p>
    <w:p>
      <w:r>
        <w:t>Działalność przestaje podlegać niniejszemu rozporządzeniu, gdy:</w:t>
      </w:r>
    </w:p>
    <w:p>
      <w:r>
        <w:t>a) Komisja przyjęła akt wykonawczy stwierdzający, że działalność bezpośrednio podlega konkurencji w okresie przewidzianym w lit. b);</w:t>
      </w:r>
    </w:p>
    <w:p>
      <w:r>
        <w:t>Komisja nie przyjęła aktu wykonawczego w następujących terminach:</w:t>
      </w:r>
    </w:p>
    <w:p>
      <w:r>
        <w:t>w przypadku gdy wnioskowi o zwolnienie nie towarzyszy stanowisko przyjęte przez niezależny organ krajowy:</w:t>
      </w:r>
    </w:p>
    <w:p>
      <w:r>
        <w:t>90 dni;</w:t>
      </w:r>
    </w:p>
    <w:p>
      <w:r>
        <w:t>120 dni, w przypadku gdy Komisja wyjątkowo poinformuje podmiot zamawiający i zainteresowane państwo członkowskie, że stopień złożoności wniosku o zwolnienie wymaga więcej czasu na analizę sytuacji konkurencyjnej na danym rynku lub danej działalności;</w:t>
      </w:r>
    </w:p>
    <w:p>
      <w:r>
        <w:t>ii) w przypadku gdy wnioskowi o zwolnienie towarzyszy stanowisko przyjęte przez niezależny organ krajowy:</w:t>
      </w:r>
    </w:p>
    <w:p>
      <w:r>
        <w:t>60 dni;</w:t>
      </w:r>
    </w:p>
    <w:p>
      <w:r>
        <w:t>W drodze wyjątku 80 dni, w przypadku gdy Komisja poinformuje podmiot zamawiający i zainteresowane państwo członkowskie, że stopień złożoności wniosku o zwolnienie wymaga więcej czasu na analizę sytuacji konkurencyjnej na danym rynku lub danej działalności.</w:t>
      </w:r>
    </w:p>
    <w:p>
      <w:r>
        <w:t>Bieg tych terminów rozpoczyna się pierwszego dnia roboczego następującego po dniu otrzymania przez Komisję wniosku o zwolnienie lub, w przypadku gdy informacje, które mają zostać dostarczone wraz z wnioskiem o zwolnienie, są niekompletne, w dniu roboczym następującym po otrzymaniu kompletnych informacji.</w:t>
      </w:r>
    </w:p>
    <w:p>
      <w:r>
        <w:t>Terminy określone w lit. b) mogą zostać przedłużone przez Komisję za zgodą państwa członkowskiego lub zainteresowanego podmiotu zamawiającego.</w:t>
      </w:r>
    </w:p>
    <w:p>
      <w:r>
        <w:t>Komisja może zwrócić się do danego państwa członkowskiego lub danego podmiotu zamawiającego lub do niezależnego organu krajowego lub dowolnego innego właściwego organu krajowego o informacje, które uzna za niezbędne do przeprowadzenia swojej oceny, w tym o powiązane dodatkowe informacje lub wyjaśnienia dotyczące już przekazanych informacji. Bieg terminów określonych w lit. b) zawiesza się do czasu otrzymania kompletnych i prawidłowych informacji.</w:t>
      </w:r>
    </w:p>
    <w:p>
      <w:r>
        <w:t>5. Po złożeniu wniosku o zwolnienie dane państwo członkowskie lub dany podmiot zamawiający może, za zgodą Komisji, znacząco zmienić swój wniosek o zwolnienie, w szczególności w odniesieniu do danej działalności lub danych obszarów geograficznych. W takim przypadku zastosowanie ma nowy termin przyjęcia aktu wykonawczego, który oblicza się zgodnie z ust. 4 lit. b), chyba że Komisja i dane państwo członkowskie lub dany podmiot zamawiający uzgodnią krótszy termin.</w:t>
      </w:r>
    </w:p>
    <w:p>
      <w:r>
        <w:t>6. Jeżeli w kontekście wniosku o zwolnienie Komisja kieruje do danego państwa członkowskiego lub podmiotu zamawiającego wniosek o udzielenie informacji, który pozostaje bez odpowiedzi przez 180 dni, wniosek o zwolnienie uznaje się za wycofany.</w:t>
      </w:r>
    </w:p>
    <w:p>
      <w:r>
        <w:t>7. W przypadku gdy działalność w danym państwie członkowskim jest już przedmiotem procedury na podstawie ust. 1 i 5, kolejnych wniosków o zwolnienie dotyczących tej samej działalności w tym samym państwie członkowskim przed upływem okresu otwartego w odniesieniu do pierwszego wniosku o zwolnienie nie uznaje się za nowe procedury, lecz traktuje się je w kontekście i w okresie składania pierwszego wniosku o zwolnienie.</w:t>
      </w:r>
    </w:p>
    <w:p>
      <w:r>
        <w:t>8. Komisja może z urzędu przeprowadzić nową analizę warunków przyznania zwolnienia, w tym w następstwie informacji od osoby trzeciej lub w przypadku formalnego wniosku państwa członkowskiego.</w:t>
      </w:r>
    </w:p>
    <w:p>
      <w:r>
        <w:t>9. Komisja udostępnia informacje na temat możliwości zastosowania art. 19 ust. 1 do działalności objętej zwolnieniem w odniesieniu do danego rynku i danej działalności, w tym na temat faktu złożenia wniosku o zwolnienie, mających zastosowanie okresów jego oceny oraz wszelkich jego przedłużeń lub zawieszeń. Komisja publikuje również informacje na temat wstępnych pytań i nowych analiz przeprowadzonych zgodnie z ust. 8.</w:t>
      </w:r>
    </w:p>
    <w:p>
      <w:r>
        <w:t>10. Komisja jest uprawniona do przyjmowania aktów wykonawczych ustanawiających szczegółowe przepisy dotyczące stosowania ust. 1–9, w tym co najmniej przepisy dotyczące:</w:t>
      </w:r>
    </w:p>
    <w:p>
      <w:r>
        <w:t>przepisy wykonawcze dotyczące formy, treści i innych szczegółów pytań wstępnych i wniosków o zwolnienie na podstawie ust. 1 i 3;</w:t>
      </w:r>
    </w:p>
    <w:p>
      <w:r>
        <w:t>b) publikacji zgodnie z ust. 9.</w:t>
      </w:r>
    </w:p>
    <w:p>
      <w:r>
        <w:t>Ten akt wykonawczy przyjmuje się zgodnie z procedurą doradczą, o której mowa w art. 143 ust. 2.</w:t>
      </w:r>
    </w:p>
    <w:p>
      <w:pPr>
        <w:pStyle w:val="Heading2"/>
        <w:jc w:val="center"/>
      </w:pPr>
      <w:r>
        <w:t>Tytuł II</w:t>
      </w:r>
    </w:p>
    <w:p>
      <w:pPr>
        <w:pStyle w:val="Heading2"/>
        <w:jc w:val="center"/>
      </w:pPr>
      <w:r>
        <w:t>Wykonawcy</w:t>
      </w:r>
    </w:p>
    <w:p>
      <w:pPr>
        <w:pStyle w:val="Heading2"/>
        <w:jc w:val="center"/>
      </w:pPr>
      <w:r>
        <w:t>Rozdział 1</w:t>
      </w:r>
    </w:p>
    <w:p>
      <w:pPr>
        <w:pStyle w:val="Heading2"/>
        <w:jc w:val="center"/>
      </w:pPr>
      <w:r>
        <w:t>Przepisy ogólne</w:t>
      </w:r>
    </w:p>
    <w:p>
      <w:pPr>
        <w:pStyle w:val="Heading3"/>
        <w:jc w:val="center"/>
      </w:pPr>
      <w:r>
        <w:t>Artykuł 21</w:t>
      </w:r>
    </w:p>
    <w:p>
      <w:pPr>
        <w:pStyle w:val="Heading4"/>
        <w:jc w:val="center"/>
      </w:pPr>
      <w:r>
        <w:t>Wykonawcy</w:t>
      </w:r>
    </w:p>
    <w:p>
      <w:r>
        <w:t>1. Nabywcy publiczni nie mogą wymagać od wykonawców posiadania określonej formy prawnej w celu wzięcia udziału w postępowaniu o udzielenie zamówienia.</w:t>
      </w:r>
    </w:p>
    <w:p>
      <w:r>
        <w:t>2. Wykonawcy, którzy zgodnie z prawem państwa członkowskiego, w którym mają siedzibę, są uprawnieni do realizacji odpowiednich dostaw, robót budowlanych lub usług, nie mogą zostać odrzuceni wyłącznie na podstawie tego, że zgodnie z prawem państwa członkowskiego, w którym zamówienie ma zostać udzielone, wykonawca musiałby być osobą fizyczną albo prawną.</w:t>
      </w:r>
    </w:p>
    <w:p>
      <w:r>
        <w:t>3. Nabywcy publiczni mogą, w przypadku usług, robót budowlanych lub prac związanych z rozmieszczeniem i instalacją, wymagać od osób prawnych podania przed rozpoczęciem wykonywania danych zadań imion i nazwisk oraz odpowiednich kwalifikacji pracowników odpowiedzialnych za wykonanie danego zamówienia.</w:t>
      </w:r>
    </w:p>
    <w:p>
      <w:pPr>
        <w:pStyle w:val="Heading3"/>
        <w:jc w:val="center"/>
      </w:pPr>
      <w:r>
        <w:t>Artykuł 22</w:t>
      </w:r>
    </w:p>
    <w:p>
      <w:pPr>
        <w:pStyle w:val="Heading4"/>
        <w:jc w:val="center"/>
      </w:pPr>
      <w:r>
        <w:t>Grup wykonawców</w:t>
      </w:r>
    </w:p>
    <w:p>
      <w:r>
        <w:t>1. Nabywcy publiczni nie określają kryteriów kwalifikacji na podstawie art. 27 dla grup wykonawców, które różnią się od kryteriów dla innych wykonawców, chyba że w niniejszym artykule określono inaczej.</w:t>
      </w:r>
    </w:p>
    <w:p>
      <w:r>
        <w:t>Uznaje się, że grupa wykonawców spełnia kryterium kwalifikacji, jeżeli:</w:t>
      </w:r>
    </w:p>
    <w:p>
      <w:r>
        <w:t>a) jeden wykonawca należący do grupy posiada niezbędne umiejętności techniczne i zawodowe lub sytuację ekonomiczną i finansową; lub</w:t>
      </w:r>
    </w:p>
    <w:p>
      <w:r>
        <w:t>b) jeżeli taką zdolność lub pozycję można ustalić poprzez połączenie odpowiednich zdolności technicznych i zawodowych lub sytuacji ekonomicznej i finansowej dwóch lub kilku członków grupy, chyba że takie połączenie nie doprowadziłoby do osiągnięcia tego samego poziomu zdolności lub pozycji.</w:t>
      </w:r>
    </w:p>
    <w:p>
      <w:r>
        <w:t>2. Jeżeli jest to uzasadnione charakterem zamówienia i zgodnie z zasadą proporcjonalności, nabywcy publiczni mogą:</w:t>
      </w:r>
    </w:p>
    <w:p>
      <w:r>
        <w:t>a) odstąpić od ust. 1 akapit drugi lit. a) lub b) w odniesieniu do kryteriów wyboru istotnych dla niektórych zadań krytycznych;</w:t>
      </w:r>
    </w:p>
    <w:p>
      <w:r>
        <w:t>b) wymagają, aby niektóre kluczowe zadania były wykonywane bezpośrednio przez członka grupy, który spełnia kryterium kwalifikacji istotne dla danego zadania.</w:t>
      </w:r>
    </w:p>
    <w:p>
      <w:r>
        <w:t>Nabywcy publiczni określają kluczowe zadania i związane z nimi wymogi, wyraźnie wskazując je i ich uzasadnienie w szczegółach zamówienia.</w:t>
      </w:r>
    </w:p>
    <w:p>
      <w:r>
        <w:t>3. Warunki realizacji zamówienia przez grupy wykonawców mogą różnić się od warunków nałożonych na innych wykonawców tylko wtedy, gdy jest to uzasadnione obiektywnymi powodami, które są proporcjonalne i wyraźnie wskazane w szczegółach zamówienia.</w:t>
      </w:r>
    </w:p>
    <w:p>
      <w:r>
        <w:t>4. Bez uszczerbku dla kompetencji państw członkowskich w zakresie organizacji ich systemów zabezpieczenia społecznego nabywcy publiczni nie wymagają od grupy wykonawców przyjęcia określonej formy prawnej, również po udzieleniu im zamówienia.</w:t>
      </w:r>
    </w:p>
    <w:p>
      <w:r>
        <w:t>5. Nabywcy publiczni zwracają szczególną uwagę na to, aby nie tworzyć nieuzasadnionych lub nieproporcjonalnych barier związanych z wielkością wykonawców uczestniczących w grupie, w szczególności MŚP.</w:t>
      </w:r>
    </w:p>
    <w:p>
      <w:pPr>
        <w:pStyle w:val="Heading3"/>
        <w:jc w:val="center"/>
      </w:pPr>
      <w:r>
        <w:t>Artykuł 23</w:t>
      </w:r>
    </w:p>
    <w:p>
      <w:pPr>
        <w:pStyle w:val="Heading4"/>
        <w:jc w:val="center"/>
      </w:pPr>
      <w:r>
        <w:t>Poleganie na zdolności innych podmiotów</w:t>
      </w:r>
    </w:p>
    <w:p>
      <w:r>
        <w:t>1. W odniesieniu do kryteriów kwalifikacji określonych przez nabywcę publicznego zgodnie z art. 27 wykonawcy mogą polegać na zdolności innych podmiotów, niezależnie od charakteru prawnego łączących ich z nimi powiązań lub ich formy prawnej.</w:t>
      </w:r>
    </w:p>
    <w:p>
      <w:r>
        <w:t>2. Nabywca publiczny weryfikuje, czy podmioty, na których zdolności wykonawca zamierza polegać w odniesieniu do co najmniej jednego kryterium kwalifikacji, spełniają odpowiednie kryteria kwalifikacji i czy istnieją podstawy do ich wykluczenia. Nabywca publiczny wymaga, aby wykonawca zastąpił podmiot, który nie spełnia odpowiedniego kryterium kwalifikacji lub w odniesieniu do którego istnieją obowiązkowe podstawy wykluczenia. Nabywca publiczny może wymagać, aby wykonawca zastąpił podmiot, w odniesieniu do którego istnieją fakultatywne podstawy wykluczenia.</w:t>
      </w:r>
    </w:p>
    <w:p>
      <w:r>
        <w:t>3. Nabywcy publiczni mogą zażądać w szczegółach zamówienia, aby wykonawca udowodnił, że będzie dysponował odpowiednimi zasobami podmiotu, na których zamierza polegać, przez cały okres realizacji zamówienia, na przykład w drodze odpowiedniego oświadczenia tych podmiotów.</w:t>
      </w:r>
    </w:p>
    <w:p>
      <w:r>
        <w:t>4. W przypadku gdy wykonawca polega na zdolności innych podmiotów w odniesieniu do kryteriów dotyczących sytuacji ekonomicznej i finansowej, nabywca publiczny może wymagać, aby wykonawca i te podmioty ponosili solidarną odpowiedzialność wobec nabywcy publicznego za wykonanie zamówienia.</w:t>
      </w:r>
    </w:p>
    <w:p>
      <w:r>
        <w:t>5. W przypadku gdy wykonawca polega na zdolności innych podmiotów w celu udowodnienia zdolności technicznej i zawodowej, nabywca publiczny może wymagać w szczegółach zamówienia, aby taki inny podmiot wykonał roboty budowlane lub usługi, w odniesieniu do których takie zdolności są wymagane.</w:t>
      </w:r>
    </w:p>
    <w:p>
      <w:pPr>
        <w:pStyle w:val="Heading3"/>
        <w:jc w:val="center"/>
      </w:pPr>
      <w:r>
        <w:t>Artykuł 24</w:t>
      </w:r>
    </w:p>
    <w:p>
      <w:pPr>
        <w:pStyle w:val="Heading4"/>
        <w:jc w:val="center"/>
      </w:pPr>
      <w:r>
        <w:t>Podwykonawstwo</w:t>
      </w:r>
    </w:p>
    <w:p>
      <w:r>
        <w:t>1. Części zamówienia publicznego mogą być zlecane podwykonawcom. Zamówienie udzielone wykonawcy nie może być w całości zlecane podwykonawcom ani w całości dalej zlecane podwykonawcom.</w:t>
      </w:r>
    </w:p>
    <w:p>
      <w:r>
        <w:t>2. Nabywcy publiczni wymagają od wykonawców wskazania w ich ofertach każdej części zamówienia, której podwykonawstwo zamierzają zlecić osobom trzecim, oraz wszelkich proponowanych podwykonawców.</w:t>
      </w:r>
    </w:p>
    <w:p>
      <w:r>
        <w:t>Mogą one wymagać od głównego wykonawcy poinformowania ich po udzieleniu zamówienia i przed rozpoczęciem realizacji zamówienia o zadaniach i działaniach, które zamierza zlecić podwykonawcom. Mogą one również wymagać informacji na temat tożsamości podwykonawców.</w:t>
      </w:r>
    </w:p>
    <w:p>
      <w:r>
        <w:t>Nabywcy publiczni wymagają od głównego wykonawcy udzielenia informacji, o których mowa w akapicie drugim, w następujących przypadkach:</w:t>
      </w:r>
    </w:p>
    <w:p>
      <w:r>
        <w:t>zamówienia publiczne na roboty budowlane;</w:t>
      </w:r>
    </w:p>
    <w:p>
      <w:r>
        <w:t>b) usługi, które mają być świadczone w obiekcie pod bezpośrednim nadzorem nabywcy publicznego;</w:t>
      </w:r>
    </w:p>
    <w:p>
      <w:r>
        <w:t>c) zamówień określonych jako stwarzające lub obejmujące ryzyko dla bezpieczeństwa lub bezpieczeństwa publicznego, o którym mowa w art. 66;</w:t>
      </w:r>
    </w:p>
    <w:p>
      <w:r>
        <w:t>d) umów, w których stosuje się wymogi dotyczące preferencji europejskiej, o których mowa w art. 73.</w:t>
      </w:r>
    </w:p>
    <w:p>
      <w:r>
        <w:t>Nabywca publiczny zobowiązuje głównego wykonawcę do jak najszybszego powiadomienia go o wszelkich zmianach w informacjach przekazanych zgodnie z akapitem trzecim w trakcie obowiązywania umowy.</w:t>
      </w:r>
    </w:p>
    <w:p>
      <w:r>
        <w:t>3. Nabywca publiczny wymaga, aby wykonawca zastąpił podwykonawcę, w odniesieniu do którego istnieją obowiązkowe podstawy wykluczenia zgodnie z art. 25. Nabywca publiczny może zażądać od wykonawcy zastąpienia podwykonawcy, w odniesieniu do którego istnieją fakultatywne podstawy wykluczenia na podstawie art. 26.</w:t>
      </w:r>
    </w:p>
    <w:p>
      <w:r>
        <w:t>4. W przypadku gdy nabywca publiczny skorzystał z któregokolwiek z wymogów dotyczących preferencji europejskiej, o których mowa w art. 73, lub wprowadził środki bezpieczeństwa zgodnie z art. 66, wykonawca może wprowadzić lub zastąpić podwykonawcę wyłącznie pod warunkiem, że podwykonawca spełnia wymogi dotyczące preferencji europejskiej lub stosuje środki bezpieczeństwa ustanowione przez nabywcę publicznego.</w:t>
      </w:r>
    </w:p>
    <w:p>
      <w:r>
        <w:t>5. Jeżeli jest to uzasadnione charakterem zamówienia i zgodnie z zasadą proporcjonalności, nabywcy publiczni mogą wymagać, aby niektóre kluczowe zadania były wykonywane bezpośrednio przez głównego wykonawcę. Nabywcy publiczni określają kluczowe zadania i związane z nimi wymogi, wyraźnie wskazując je i ich uzasadnienie w szczegółach zamówienia.</w:t>
      </w:r>
    </w:p>
    <w:p>
      <w:r>
        <w:t>6. Podwykonawstwo na mocy postanowień niniejszego artykułu pozostaje bez uszczerbku dla odpowiedzialności głównego wykonawcy.</w:t>
      </w:r>
    </w:p>
    <w:p>
      <w:r>
        <w:t>7. Przestrzeganie przez podwykonawców obowiązków, o których mowa w art. 4 ust. 4, zapewnia się poprzez odpowiednie działania właściwych organów krajowych działających w zakresie ich odpowiedzialności i kompetencji. Państwa członkowskie mogą przyjąć lub utrzymać dodatkowe proporcjonalne środki ograniczające podwykonawstwo, jeżeli stwierdzą należycie uzasadnione wyższe ryzyko nieprzestrzegania obowiązków wynikających z prawa socjalnego i prawa pracy.</w:t>
      </w:r>
    </w:p>
    <w:p>
      <w:pPr>
        <w:pStyle w:val="Heading2"/>
        <w:jc w:val="center"/>
      </w:pPr>
      <w:r>
        <w:t>Rozdział 2</w:t>
      </w:r>
    </w:p>
    <w:p>
      <w:pPr>
        <w:pStyle w:val="Heading2"/>
        <w:jc w:val="center"/>
      </w:pPr>
      <w:r>
        <w:t>Podstawy wykluczenia i kryteria kwalifikacji</w:t>
      </w:r>
    </w:p>
    <w:p>
      <w:pPr>
        <w:pStyle w:val="Heading3"/>
        <w:jc w:val="center"/>
      </w:pPr>
      <w:r>
        <w:t>Artykuł 25</w:t>
      </w:r>
    </w:p>
    <w:p>
      <w:pPr>
        <w:pStyle w:val="Heading4"/>
        <w:jc w:val="center"/>
      </w:pPr>
      <w:r>
        <w:t>Obowiązkowe wyłączenia</w:t>
      </w:r>
    </w:p>
    <w:p>
      <w:r>
        <w:t>1. Nabywcy publiczni w dowolnym momencie postępowania wykluczają wykonawcę, w tym poszczególnych członków grupy wykonawców, z udziału w postępowaniu o udzielenie zamówienia, w przypadku gdy wykonawca ten lub osoba kluczowa dla funkcjonowania osoby prawnej, jak określono w akapicie drugim, zostali w którymkolwiek państwie członkowskim skazani prawomocnym wyrokiem za którekolwiek z przestępstw wymienionych w niniejszym akapicie lub – w przypadku państw członkowskich niezwiązanych odpowiednim aktem prawnym Unii – za przestępstwa określone w równoważnych przepisach krajowych:</w:t>
      </w:r>
    </w:p>
    <w:p>
      <w:r>
        <w:t>a) udział w organizacji przestępczej zdefiniowanej w art. 1 pkt 1 decyzji ramowej Rady 2008/841/WSiSW[30];</w:t>
      </w:r>
    </w:p>
    <w:p>
      <w:r>
        <w:t>b) przestępstwa korupcyjne w rozumieniu dyrektywy (UE) 2026/1021[31];</w:t>
      </w:r>
    </w:p>
    <w:p>
      <w:r>
        <w:t>nadużycia finansowe naruszające interesy finansowe Unii w rozumieniu art. 1 Konwencji w sprawie ochrony interesów finansowych Wspólnot Europejskich i przestępstwa kryminalne określone w art. 3, 4 i 5 dyrektywy</w:t>
      </w:r>
    </w:p>
    <w:p>
      <w:r>
        <w:t>(UE) 2017/1371[32];</w:t>
      </w:r>
    </w:p>
    <w:p>
      <w:r>
        <w:t>d) przestępstw terrorystycznych i przestępstw związanych z grupą terrorystyczną, a także przestępstw związanych z działalnością terrorystyczną, o których mowa w art. 3–12 dyrektywy (UE) 2017/541[33];</w:t>
      </w:r>
    </w:p>
    <w:p>
      <w:r>
        <w:t>e) prania pieniędzy w rozumieniu art. 3 dyrektywy (UE) 2018/1673[34];</w:t>
      </w:r>
    </w:p>
    <w:p>
      <w:r>
        <w:t>f) handel ludźmi w rozumieniu art. 2 dyrektywy (UE) 2011/36[35];</w:t>
      </w:r>
    </w:p>
    <w:p>
      <w:r>
        <w:t>g) przestępstwa dotyczące zatrudniania nielegalnie przebywających obywateli państw trzecich, o których mowa w art. 2, 3 i 9 dyrektywy 2009/52/WE[36];</w:t>
      </w:r>
    </w:p>
    <w:p>
      <w:r>
        <w:t>h) przestępstwa przeciwko środowisku, o których mowa w art. 3 i 4 dyrektywy</w:t>
      </w:r>
    </w:p>
    <w:p>
      <w:r>
        <w:t>(UE) 2024/1203[37];</w:t>
      </w:r>
    </w:p>
    <w:p>
      <w:r>
        <w:t>i) przestępstwa związane z naruszeniem unijnych środków ograniczających, o których mowa w art. 3 i 4 dyrektywy (UE) 2024/1226[38];</w:t>
      </w:r>
    </w:p>
    <w:p>
      <w:r>
        <w:t>j) oszukańcze użycie bezgotówkowych instrumentów płatniczych, o których mowa w art. 3–8 dyrektywy (UE) 2019/713[39];</w:t>
      </w:r>
    </w:p>
    <w:p>
      <w:r>
        <w:t>k) przestępstw w obszarze niegodziwego traktowania w celach seksualnych i wykorzystywania seksualnego dzieci, o których mowa w art. 3–9 dyrektywy (UE) 2011/93[40].</w:t>
      </w:r>
    </w:p>
    <w:p>
      <w:r>
        <w:t>„Kluczowa osoba w funkcjonowaniu osoby prawnej” oznacza osobę pełniącą funkcję kierowniczą w tej osobie prawnej w oparciu o którykolwiek z poniższych elementów:</w:t>
      </w:r>
    </w:p>
    <w:p>
      <w:r>
        <w:t>a) prawo do reprezentowania osoby prawnej;</w:t>
      </w:r>
    </w:p>
    <w:p>
      <w:r>
        <w:t>b) uprawnienia do podejmowania decyzji w imieniu osoby prawnej;</w:t>
      </w:r>
    </w:p>
    <w:p>
      <w:r>
        <w:t>c) uprawnienia do sprawowania kontroli w ramach osoby prawnej.</w:t>
      </w:r>
    </w:p>
    <w:p>
      <w:r>
        <w:t>2. Podstawy wykluczenia określone w niniejszym artykule mają zastosowanie przez pięć lat od dnia wydania prawomocnego wyroku, z wyjątkiem przypadków, gdy okres wykluczenia został określony w prawomocnym wyroku, co oznacza, że po upływie okresów, o których mowa w niniejszym zdaniu, nie można podjąć żadnej decyzji o wykluczeniu.</w:t>
      </w:r>
    </w:p>
    <w:p>
      <w:r>
        <w:t>3. Nabywcy publiczni wykluczają wykonawcę z udziału w postępowaniu o udzielenie zamówienia w dowolnym momencie postępowania, gdy dowiadują się, że wykonawca lub wykonawca naruszył swoje obowiązki dotyczące płatności podatków lub opłacenia składek na ubezpieczenie społeczne, co stwierdzono w ostatecznej decyzji sądowej lub administracyjnej, chyba że do tego momentu wykonawca zawarł wiążące porozumienie dotyczące płatności należnych podatków lub składek na ubezpieczenie społeczne, w tym, w stosownych przypadkach, wszelkich narosłych odsetek lub grzywien.</w:t>
      </w:r>
    </w:p>
    <w:p>
      <w:r>
        <w:t>Nabywcy publiczni mogą odstąpić od obowiązkowego wykluczenia, o którym mowa w ust. 1, jeżeli wykluczenie byłoby wyraźnie nieproporcjonalne, w szczególności w przypadku braku zapłaty jedynie niewielkich kwot.</w:t>
      </w:r>
    </w:p>
    <w:p>
      <w:r>
        <w:t>4. Nabywcy publiczni mogą podjąć decyzję o odstępstwie od obowiązkowego wykluczenia przewidzianego w niniejszym artykule w drodze wyjątku, z nadrzędnych względów interesu publicznego, takich jak zdrowie publiczne lub ochrona środowiska. Wszelką decyzję o odstępstwie i jej uzasadnienie dokumentuje się w indywidualnej dokumentacji zgodnie z art. 109.</w:t>
      </w:r>
    </w:p>
    <w:p>
      <w:r>
        <w:rPr>
          <w:sz w:val="16"/>
        </w:rPr>
        <w:t>30 Decyzja ramowa Rady 2008/841/WSiSW z dnia 24 października 2008 r. w sprawie zwalczania przestępczości zorganizowanej (Dz.U. L 300 z 11.11.2008, s. 42, ELI: http://data.europa.eu/eli/dec_framw/2008/841/oj).</w:t>
      </w:r>
    </w:p>
    <w:p>
      <w:r>
        <w:rPr>
          <w:sz w:val="16"/>
        </w:rPr>
        <w:t>31 Dyrektywa Parlamentu Europejskiego i Rady (UE) 2026/1021 z dnia 29 kwietnia 2026 r. w sprawie zwalczania korupcji, zastępująca decyzję ramową Rady 2003/568/WSiSW oraz Konwencję w sprawie zwalczania korupcji urzędników Wspólnot Europejskich i urzędników państw członkowskich Unii Europejskiej oraz zmieniająca dyrektywę Parlamentu Europejskiego i Rady (UE) 2017/1371 (Dz.U. L, 2026/1021, 11.5.2026, ELI: http://data.europa.eu/eli/dir/2026/1021/oj).</w:t>
      </w:r>
    </w:p>
    <w:p>
      <w:r>
        <w:rPr>
          <w:sz w:val="16"/>
        </w:rPr>
        <w:t>32 Dyrektywa Parlamentu Europejskiego i Rady (UE) 2017/1371 z dnia 5 lipca 2017 r. w sprawie zwalczania za pośrednictwem prawa karnego nadużyć na szkodę interesów finansowych Unii (Dz.U. L 198 z 28.7.2017, s. 29, ELI: http://data.europa.eu/eli/dir/2017/1371/oj).</w:t>
      </w:r>
    </w:p>
    <w:p>
      <w:r>
        <w:rPr>
          <w:sz w:val="16"/>
        </w:rPr>
        <w:t>33 Dyrektywa (UE) 2017/541 Parlamentu Europejskiego i Rady z dnia 15 marca 2017 r. w sprawie zwalczania terroryzmu i zastępująca decyzję ramową Rady 2002/475/WSiSW oraz zmieniająca decyzję Rady 2005/671/WSiSW (Dz.U. L 88 z 31.3.2017, s. 6, ELI: http://data.europa.eu/eli/dir/2017/541/oj).</w:t>
      </w:r>
    </w:p>
    <w:p>
      <w:r>
        <w:rPr>
          <w:sz w:val="16"/>
        </w:rPr>
        <w:t>34 Dyrektywa Parlamentu Europejskiego i Rady (UE) 2018/1673 z dnia 23 października 2018 r. w sprawie zwalczania prania pieniędzy za pomocą środków prawnokarnych (Dz.U. L 284 z 12.11.2018, s. 22, ELI: http://data.europa.eu/eli/dir/2018/1673/oj).</w:t>
      </w:r>
    </w:p>
    <w:p>
      <w:r>
        <w:rPr>
          <w:sz w:val="16"/>
        </w:rPr>
        <w:t>35 Dyrektywa Parlamentu Europejskiego i Rady 2011/36/UE z dnia 5 kwietnia 2011 r. w sprawie zapobiegania handlowi ludźmi i zwalczania tego procederu oraz ochrony ofiar, zastępująca decyzję ramową Rady 2002/629/WSiSW, Dz.U. L 101 z 15.4.2011, s. 1, ELI: http://data.europa.eu/eli/dir/2011/36/oj).</w:t>
      </w:r>
    </w:p>
    <w:p>
      <w:r>
        <w:rPr>
          <w:sz w:val="16"/>
        </w:rPr>
        <w:t>36 Dyrektywa Parlamentu Europejskiego i Rady (UE) 2024/1203 z dnia 11 kwietnia 2024 r. w sprawie ochrony środowiska poprzez prawo karne i zastępująca dyrektywy 2008/99/WE i 2009/123/WE (Dz.U. L, 2024/1203, 30.4.2024, ELI: http://data.europa.eu/eli/dir/2024/1203/oj).</w:t>
      </w:r>
    </w:p>
    <w:p>
      <w:r>
        <w:rPr>
          <w:sz w:val="16"/>
        </w:rPr>
        <w:t>37 Dyrektywa Parlamentu Europejskiego i Rady (UE) 2024/1203 z dnia 11 kwietnia 2024 r. w sprawie ochrony środowiska poprzez prawo karne i zastępująca dyrektywy 2008/99/WE i 2009/123/WE (Dz.U. L, 2024/1203, 30.4.2024, ELI: http://data.europa.eu/eli/dir/2024/1203/oj).</w:t>
      </w:r>
    </w:p>
    <w:p>
      <w:r>
        <w:rPr>
          <w:sz w:val="16"/>
        </w:rPr>
        <w:t>38 Dyrektywa Parlamentu Europejskiego i Rady (UE) 2024/1226 z dnia 24 kwietnia 2024 r. w sprawie określenia przestępstw związanych z naruszeniem unijnych środków ograniczających i sankcji za takie naruszenia oraz zmiany dyrektywy (UE) 2018/1673 (Dz.U. L, 2024/1226, 29.4.2024, ELI: http://data.europa.eu/eli/dir/2024/1226/oj).</w:t>
      </w:r>
    </w:p>
    <w:p>
      <w:r>
        <w:rPr>
          <w:sz w:val="16"/>
        </w:rPr>
        <w:t>39 Dyrektywa Parlamentu Europejskiego i Rady (UE) 2019/713 z dnia 17 kwietnia 2019 r. w sprawie zwalczania fałszowania i oszustw związanych z bezgotówkowymi środkami płatniczymi, zastępująca decyzję ramową Rady 2001/413/WSiSW (Dz.U. L 123 z 10.5.2019, s. 18, ELI: http://data.europa.eu/eli/dir/2019/713/oj).</w:t>
      </w:r>
    </w:p>
    <w:p>
      <w:r>
        <w:rPr>
          <w:sz w:val="16"/>
        </w:rPr>
        <w:t>40 Dyrektywa Parlamentu Europejskiego i Rady 2011/93/UE z dnia 13 grudnia 2011 r. w sprawie zwalczania niegodziwego traktowania w celach seksualnych i wykorzystywania seksualnego dzieci oraz pornografii dziecięcej, zastępująca decyzję ramową Rady 2004/68/WSiSW (Dz.U. L 335 z 17.12.2011, s. 1, ELI: http://data.europa.eu/eli/dir/2011/93/oj.</w:t>
      </w:r>
    </w:p>
    <w:p>
      <w:pPr>
        <w:pStyle w:val="Heading3"/>
        <w:jc w:val="center"/>
      </w:pPr>
      <w:r>
        <w:t>Artykuł 26</w:t>
      </w:r>
    </w:p>
    <w:p>
      <w:pPr>
        <w:pStyle w:val="Heading4"/>
        <w:jc w:val="center"/>
      </w:pPr>
      <w:r>
        <w:t>Fakultatywne podstawy wykluczenia</w:t>
      </w:r>
    </w:p>
    <w:p>
      <w:r>
        <w:t>1. Nabywcy publiczni mogą w dowolnym momencie postępowania wykluczyć wykonawcę, w tym poszczególnych członków grup wykonawców, z udziału w postępowaniu o udzielenie zamówienia, jeżeli:</w:t>
      </w:r>
    </w:p>
    <w:p>
      <w:r>
        <w:t>a) nabywca publiczny może wykazać za pomocą wszelkich odpowiednich środków, że wykonawca naruszył mające zastosowanie obowiązki wynikające z odpowiednich przepisów Unii, o których mowa w art. 4 ust. 4;</w:t>
      </w:r>
    </w:p>
    <w:p>
      <w:r>
        <w:t>b) wykonawca znajduje się w stanie upadłości lub jest przedmiotem postępowania upadłościowego lub likwidacyjnego, lub też znajduje się w porównywalnej sytuacji;</w:t>
      </w:r>
    </w:p>
    <w:p>
      <w:r>
        <w:t>c) nabywca publiczny może za pomocą odpowiednich środków wykazać poważne wykroczenie zawodowe ze strony wykonawcy, które podaje w wątpliwość jego uczciwość lub wiarygodność;</w:t>
      </w:r>
    </w:p>
    <w:p>
      <w:r>
        <w:t>d) nabywca publiczny ma wystarczająco wiarygodne przesłanki, aby stwierdzić, że wykonawca zawarł z innymi wykonawcami umowy mające na celu zakłócenie konkurencji;</w:t>
      </w:r>
    </w:p>
    <w:p>
      <w:r>
        <w:t>wykonawca dopuścił się znaczących lub uporczywych uchybień w spełnieniu istotnego wymogu w ramach wcześniejszego zamówienia publicznego, które doprowadziły do przedterminowego rozwiązania tego wcześniejszego zamówienia, odszkodowania lub innych porównywalnych sankcji ze strony nabywcy publicznego;</w:t>
      </w:r>
    </w:p>
    <w:p>
      <w:r>
        <w:t>f) w kontekście danej procedury uznano, że wykonawca jest odpowiedzialny za poważne wprowadzenie w błąd w odniesieniu do informacji wymaganych do weryfikacji braku podstaw wykluczenia lub do weryfikacji spełnienia kryteriów kwalifikacji; lub w inny sposób zobowiązał się do uzyskania nienależnych korzyści w postępowaniu o udzielenie zamówienia publicznego;</w:t>
      </w:r>
    </w:p>
    <w:p>
      <w:r>
        <w:t>g) nabywca publiczny może wykazać za pomocą wszelkich odpowiednich środków, w tym między innymi informacji niejawnych lub publicznie jawnych ocen przedstawionych przez właściwe organy krajowe, że wykonawca nie posiada wystarczającej wiarygodności, aby wykluczyć ryzyko dla interesów Unii lub co najmniej jednego państwa członkowskiego w zakresie bezpieczeństwa i ochrony publicznej;</w:t>
      </w:r>
    </w:p>
    <w:p>
      <w:r>
        <w:t>h) wykonawca korzystał z subsydiów zagranicznych zakłócających rynek wewnętrzny, ustanowionych w akcie wykonawczym przyjętym przez Komisję na podstawie art. 31 ust. 2 rozporządzenia (UE) 2022/2560[41], w ciągu trzech lat poprzedzających postępowanie o udzielenie zamówienia publicznego, a nabywca publiczny ma wystarczająco wiarygodne przesłanki, aby stwierdzić, że przedmiotowe subsydia zagraniczne mogą mieć wpływ na ofertę wykonawcy.</w:t>
      </w:r>
    </w:p>
    <w:p>
      <w:r>
        <w:t>2. Każdy wykonawca objęty wykluczeniem na podstawie ust. 1 może przedstawić dowody, aby obalić istnienie podstawy wykluczenia lub wykazać, że podjął wystarczające środki w celu wykazania swojej rzetelności pomimo istnienia podstawy wykluczenia.</w:t>
      </w:r>
    </w:p>
    <w:p>
      <w:r>
        <w:t>W tym celu wykonawca musi w szczególności udowodnić, że:</w:t>
      </w:r>
    </w:p>
    <w:p>
      <w:r>
        <w:t>a) wypłaciła lub zobowiązała się wypłacić odszkodowanie za wszelkie szkody spowodowane naruszeniem przepisów;</w:t>
      </w:r>
    </w:p>
    <w:p>
      <w:r>
        <w:t>b) wyczerpująco wyjaśnił fakty i okoliczności, aktywnie współpracując z organami prowadzącymi dochodzenie; oraz</w:t>
      </w:r>
    </w:p>
    <w:p>
      <w:r>
        <w:t>c) podjęły konkretne środki techniczne, organizacyjne i kadrowe, które są odpowiednie do zapobiegania dalszym uchybieniom.</w:t>
      </w:r>
    </w:p>
    <w:p>
      <w:r>
        <w:t>Jeżeli nabywca publiczny uzna przedstawione dowody za wystarczające, dany wykonawca nie zostaje wykluczony z postępowania o udzielenie zamówienia.</w:t>
      </w:r>
    </w:p>
    <w:p>
      <w:r>
        <w:t>Środki podjęte przez wykonawców są oceniane z uwzględnieniem wagi i szczególnych okoliczności przewinienia. Oceniając środki wprowadzone przez wykonawcę, nabywcy publiczni biorą pod uwagę charakter, zakres i harmonogram współpracy z odpowiednimi organami prowadzącymi dochodzenie.</w:t>
      </w:r>
    </w:p>
    <w:p>
      <w:r>
        <w:t>W przypadku gdy środki zostaną uznane za niewystarczające, wykonawca otrzymuje uzasadnienie takiej decyzji.</w:t>
      </w:r>
    </w:p>
    <w:p>
      <w:r>
        <w:t>Wykonawca, który został prawomocnym wyrokiem w dowolnym państwie członkowskim wykluczony z udziału w postępowaniach o udzielenie zamówienia, nie jest uprawniony do skorzystania z możliwości przewidzianej w niniejszym ustępie w okresie wykluczenia wynikającym z tego wyroku.</w:t>
      </w:r>
    </w:p>
    <w:p>
      <w:r>
        <w:t>Państwa członkowskie mogą wyznaczyć organ krajowy właściwy do oceny dowodów i podjęcia decyzji, czy są one wystarczające do celów niniejszego ustępu. Nabywcy publiczni opierają się na pozytywnej decyzji właściwego organu krajowego do celów swoich postępowań o udzielenie zamówienia.</w:t>
      </w:r>
    </w:p>
    <w:p>
      <w:r>
        <w:t>3. W przypadku niepodjęcia środków określonych w ust. 2 i jeżeli okres wykluczenia nie został określony w prawomocnym wyroku, nabywcy publiczni mogą wykluczyć wykonawców na podstawie niniejszego artykułu przez okres pięciu lat od daty zachowania prowadzącego do wykluczenia lub, w przypadku ciągłych lub powtarzających się działań, od daty zaprzestania tego zachowania, ale nie po upływie tego maksymalnego okresu.</w:t>
      </w:r>
    </w:p>
    <w:p>
      <w:r>
        <w:t>4. W przypadku gdy nabywca publiczny wyklucza wykonawca na podstawie ust. 1 lit. h), informuje o tym Komisję.</w:t>
      </w:r>
    </w:p>
    <w:p>
      <w:r>
        <w:rPr>
          <w:sz w:val="16"/>
        </w:rPr>
        <w:t>41 Rozporządzenie Parlamentu Europejskiego i Rady (UE) 2022/2560 z dnia 14 grudnia 2022 r. w sprawie subsydiów zagranicznych zakłócających rynek wewnętrzny (Dz.U. L 330 z 23.12.2022, s. 1, ELI: http://data.europa.eu/eli/reg/2022/2560/oj).</w:t>
      </w:r>
    </w:p>
    <w:p>
      <w:pPr>
        <w:pStyle w:val="Heading3"/>
        <w:jc w:val="center"/>
      </w:pPr>
      <w:r>
        <w:t>Artykuł 27</w:t>
      </w:r>
    </w:p>
    <w:p>
      <w:pPr>
        <w:pStyle w:val="Heading4"/>
        <w:jc w:val="center"/>
      </w:pPr>
      <w:r>
        <w:t>Kryteria kwalifikacji</w:t>
      </w:r>
    </w:p>
    <w:p>
      <w:r>
        <w:t>1. W przypadku gdy nabywcy publiczni zdecydują się skorzystać z kryteriów kwalifikacji, określają takie kryteria zgodnie z warunkami określonymi w niniejszym artykule.</w:t>
      </w:r>
    </w:p>
    <w:p>
      <w:r>
        <w:t>2. Kryteria kwalifikacji odnoszą się wyłącznie do:</w:t>
      </w:r>
    </w:p>
    <w:p>
      <w:r>
        <w:t>a) umiejętności technicznych i zawodowych w rozumieniu ust. 4, 5 i 6;</w:t>
      </w:r>
    </w:p>
    <w:p>
      <w:r>
        <w:t>sytuacji prawnej, ekonomicznej i finansowej w rozumieniu ust. 7.</w:t>
      </w:r>
    </w:p>
    <w:p>
      <w:r>
        <w:t>3. Nabywcy publiczni ograniczają wszelkie wymogi do tych, które są odpowiednie do zapewnienia, aby wykonawca posiadał zdolności prawne, ekonomiczne i finansowe oraz możliwości techniczne i zawodowe niezbędne do realizacji udzielanego zamówienia. Wszystkie wymogi muszą być związane ze złożonością przedmiotu zamówienia i ryzykiem z nim związanym oraz proporcjonalne do tej złożoności i ryzyka.</w:t>
      </w:r>
    </w:p>
    <w:p>
      <w:r>
        <w:t>4. Jeżeli jest to uzasadnione przedmiotem zamówienia, nabywcy publiczni mogą wymagać, aby wykonawcy byli wpisani do jednego z rejestrów zawodowych lub handlowych mających siedzibę w państwie, w którym wykonawca prowadzi swoją główną działalność.</w:t>
      </w:r>
    </w:p>
    <w:p>
      <w:r>
        <w:t>W postępowaniach o udzielenie zamówienia na usługi, o ile od wykonawców wymaga się posiadania określonego zezwolenia lub członkostwa w określonej organizacji, aby móc świadczyć daną usługę w kraju pochodzenia, nabywca publiczny może wymagać od nich udowodnienia, że posiadają takie zezwolenie lub członkostwo.</w:t>
      </w:r>
    </w:p>
    <w:p>
      <w:r>
        <w:t>Poświadczony przez właściwe organy wpis do urzędowych wykazów lub certyfikat wydany przez jednostkę certyfikującą stanowi domniemanie zgodności w odniesieniu do wymogów określonych na podstawie niniejszego ustępu.</w:t>
      </w:r>
    </w:p>
    <w:p>
      <w:r>
        <w:t>5. Wszelkie odniesienia do kwalifikacji lub poziomów kwalifikacji zawarte w kryteriach kwalifikacji zawierają odniesienie do poziomów europejskich ram kwalifikacji określonych w załączniku II do zalecenia Rady z dnia 22 maja 2017 r.[42].</w:t>
      </w:r>
    </w:p>
    <w:p>
      <w:r>
        <w:t>6. Nabywcy publiczni mogą nakładać wymogi zapewniające, aby wykonawcy posiadali niezbędne zasoby ludzkie i techniczne oraz doświadczenie do realizacji zamówienia na odpowiednim poziomie jakości.</w:t>
      </w:r>
    </w:p>
    <w:p>
      <w:r>
        <w:t>O ile nie jest to uzasadnione złożonością zamówienia lub charakterem przedmiotu zamówienia, nabywcy publiczni nie mogą wymagać wcześniejszego doświadczenia w zakresie zamówień publicznych jako warunku udziału w postępowaniu o udzielenie zamówienia.</w:t>
      </w:r>
    </w:p>
    <w:p>
      <w:r>
        <w:t>Nabywca publiczny może założyć, że wykonawca nie posiada wymaganych umiejętności zawodowych, jeżeli:</w:t>
      </w:r>
    </w:p>
    <w:p>
      <w:r>
        <w:t>a) nabywca publiczny ustalił za pomocą odpowiednich środków, że wykonawca ma sprzeczne interesy, które mogą mieć negatywny wpływ na realizację zamówienia; lub</w:t>
      </w:r>
    </w:p>
    <w:p>
      <w:r>
        <w:t>b) nabywca publiczny został poinformowany za pomocą odpowiednich środków, że wykonawca stwarza zagrożenie dla bezpieczeństwa państwa członkowskiego lub Unii jako całości.</w:t>
      </w:r>
    </w:p>
    <w:p>
      <w:r>
        <w:t>7. Nabywcy publiczni mogą wymagać od wykonawców spełnienia któregokolwiek z następujących kryteriów:</w:t>
      </w:r>
    </w:p>
    <w:p>
      <w:r>
        <w:t>a) posiadanie odpowiedniego minimalnego rocznego całkowitego obrotu;</w:t>
      </w:r>
    </w:p>
    <w:p>
      <w:r>
        <w:t>posiadania odpowiedniego minimalnego obrotu w obszarze objętym zamówieniem;</w:t>
      </w:r>
    </w:p>
    <w:p>
      <w:r>
        <w:t>c) przedstawiania informacji na temat swoich rocznych sprawozdań finansowych, w tym na temat stosunku aktywów do zobowiązań;</w:t>
      </w:r>
    </w:p>
    <w:p>
      <w:r>
        <w:t>posiadania odpowiedniego poziomu ubezpieczenia od odpowiedzialności cywilnej z tytułu prowadzenia działalności zawodowej.</w:t>
      </w:r>
    </w:p>
    <w:p>
      <w:r>
        <w:t>Minimalny obrót, o którym mowa w akapicie pierwszym, nie przekracza 50 % szacunkowej rocznej wartości zamówienia, z wyjątkiem należycie uzasadnionych przypadków, takich jak szczególne ryzyko związane z charakterem robót budowlanych, usług lub dostaw.</w:t>
      </w:r>
    </w:p>
    <w:p>
      <w:r>
        <w:t>Nabywca publiczny wskazuje główne powody takiego wymogu w szczegółach zamówienia.</w:t>
      </w:r>
    </w:p>
    <w:p>
      <w:r>
        <w:t>Informacje zawarte w rocznych sprawozdaniach finansowych mogą zostać uwzględnione wyłącznie w przypadku, gdy nabywca publiczny określił metody i kryteria takiego uwzględnienia w szczegółach zamówienia. Tego rodzaju metody i kryteria są przejrzyste, obiektywne i niedyskryminacyjne.</w:t>
      </w:r>
    </w:p>
    <w:p>
      <w:r>
        <w:t>8. Informacji, które można ustalić na podstawie istniejących krajowych baz danych ustanowionych przez organ publiczny lub na podstawie wpisu do urzędowych wykazów lub świadectw, nie kwestionuje się bez wystarczającego uzasadnienia.</w:t>
      </w:r>
    </w:p>
    <w:p>
      <w:r>
        <w:rPr>
          <w:sz w:val="16"/>
        </w:rPr>
        <w:t>42 Zalecenie Rady z dnia 22 maja 2017 r. w sprawie europejskich ram kwalifikacji dla uczenia się przez całe życie i uchylające zalecenie Parlamentu Europejskiego i Rady z dnia 23 kwietnia 2008 r. w sprawie ustanowienia europejskich ram kwalifikacji dla uczenia się przez całe życie (Dz.U. C 189 z 15.6.2017, s. 15).</w:t>
      </w:r>
    </w:p>
    <w:p>
      <w:pPr>
        <w:pStyle w:val="Heading2"/>
        <w:jc w:val="center"/>
      </w:pPr>
      <w:r>
        <w:t>Rozdział 3</w:t>
      </w:r>
    </w:p>
    <w:p>
      <w:pPr>
        <w:pStyle w:val="Heading2"/>
        <w:jc w:val="center"/>
      </w:pPr>
      <w:r>
        <w:t>Środki potwierdzające kwalifikowalność i dostęp do bazy danych</w:t>
      </w:r>
    </w:p>
    <w:p>
      <w:pPr>
        <w:pStyle w:val="Heading3"/>
        <w:jc w:val="center"/>
      </w:pPr>
      <w:r>
        <w:t>Artykuł 28</w:t>
      </w:r>
    </w:p>
    <w:p>
      <w:pPr>
        <w:pStyle w:val="Heading4"/>
        <w:jc w:val="center"/>
      </w:pPr>
      <w:r>
        <w:t>Środki dowodowe potwierdzające kwalifikowalność wykonawców</w:t>
      </w:r>
    </w:p>
    <w:p>
      <w:r>
        <w:t>1. Nabywcy publiczni wymagają od wykonawców korzystania z elektronicznej usługi kwalifikowalności ustanowionej na podstawie art. 133 jako środka dowodowego w następujących przypadkach:</w:t>
      </w:r>
    </w:p>
    <w:p>
      <w:r>
        <w:t>a) brak podstaw wykluczenia na podstawie art. 25 i 26;</w:t>
      </w:r>
    </w:p>
    <w:p>
      <w:r>
        <w:t>b) zgodność z kryteriami kwalifikacji na podstawie art. 27.</w:t>
      </w:r>
    </w:p>
    <w:p>
      <w:r>
        <w:t>W przypadku gdy wykonawca polega na zdolności innych podmiotów zgodnie z art. 23 lub proponuje skorzystanie z usług podwykonawców w ramach realizacji zamówienia zgodnie z art. 24, wykonawca przekazuje również informacje, o których mowa w akapicie pierwszym, w odniesieniu do tych podmiotów za pośrednictwem elektronicznej usługi kwalifikowalności.</w:t>
      </w:r>
    </w:p>
    <w:p>
      <w:r>
        <w:t>2. W przypadku gdy elektroniczna usługa kwalifikowalności przewiduje automatyczną weryfikację istnienia podstawy wykluczenia lub zgodności z kryterium kwalifikacji, nabywcy publiczni wykorzystują tę weryfikację do podjęcia decyzji w sprawie kwalifikowalności.</w:t>
      </w:r>
    </w:p>
    <w:p>
      <w:r>
        <w:t>3. Wykonawcy korzystają z cyfrowego narzędzia do wydawania poświadczeń biznesowych przewidzianego w art. 133. W przypadku gdy wykonawca nie ma dostępu do tego narzędzia lub gdy odpowiednie dowody nie są dostępne za pośrednictwem tego narzędzia, wykonawca deklaruje za pośrednictwem elektronicznej usługi kwalifikowalności, czy spełnia wymogi określone dla podstaw wykluczenia i kryteriów kwalifikacji oraz czy byłby w stanie przedstawić wymagane dowody (oświadczenie własne).</w:t>
      </w:r>
    </w:p>
    <w:p>
      <w:r>
        <w:t>W takim przypadku nabywca publiczny może w dowolnym momencie postępowania zażądać dowodów, które nie są dostępne za pośrednictwem elektronicznej usługi kwalifikowalności, jeżeli jest to niezbędne do oceny wymogów nabywcy publicznego.</w:t>
      </w:r>
    </w:p>
    <w:p>
      <w:r>
        <w:t>4. Wykonawcy wskazują swoje państwo pochodzenia zgodnie z art. 74 w elektronicznej usłudze kwalifikowalności, o której mowa w art. 133.</w:t>
      </w:r>
    </w:p>
    <w:p>
      <w:r>
        <w:t>Jeżeli jest to wymagane do stosowania wymogów na podstawie art. 73 ust. 2, wykonawcy wskazują kraj pochodzenia towarów, które składają ich ofertę, włączając go, w stosownych przypadkach, do cyfrowego paszportu produktu towarów zgodnie z rozporządzeniem (UE) 2024/1781.</w:t>
      </w:r>
    </w:p>
    <w:p>
      <w:r>
        <w:t>W przypadku gdy nabywcy publiczni prowadzą postępowanie o udzielenie zamówienia, stosując co najmniej jeden ze środków określonych w części III tytuł II rozdział 5, mogą oni w dowolnym momencie postępowania o udzielenie zamówienia publicznego zwrócić się do wykonawcy o uzupełnienie, wyjaśnienie lub uzupełnienie informacji lub dokumentów związanych z weryfikacją pochodzenia wykonawcy lub oferowanych towarów, usług lub robót budowlanych, pod warunkiem że takie wnioski są zgodne z zasadami równego traktowania i przejrzystości.</w:t>
      </w:r>
    </w:p>
    <w:p>
      <w:r>
        <w:t>W przypadku gdy wykonawca nie dostarczy informacji lub dokumentów, o których mowa w akapicie trzecim, bez racjonalnego wyjaśnienia, a tym samym uniemożliwia weryfikację pochodzenia przez nabywcę publicznego lub czyni taką weryfikację praktycznie niemożliwą lub bardzo trudną, wykonawca lub złożona przez niego oferta mogą zostać wykluczeni z udziału w danym postępowaniu o udzielenie zamówienia publicznego.</w:t>
      </w:r>
    </w:p>
    <w:p>
      <w:pPr>
        <w:pStyle w:val="Heading3"/>
        <w:jc w:val="center"/>
      </w:pPr>
      <w:r>
        <w:t>Artykuł 29</w:t>
      </w:r>
    </w:p>
    <w:p>
      <w:pPr>
        <w:pStyle w:val="Heading4"/>
        <w:jc w:val="center"/>
      </w:pPr>
      <w:r>
        <w:t>Połączenie baz danych z elektroniczną usługą kwalifikowalności</w:t>
      </w:r>
    </w:p>
    <w:p>
      <w:r>
        <w:t>1. Do dnia 15 czerwca 2029 r. państwa członkowskie zapewniają bezpłatny dostęp do narzędzia cyfrowych poświadczeń przedsiębiorstw zgodnie z art. 133 do krajowych baz danych, w których:</w:t>
      </w:r>
    </w:p>
    <w:p>
      <w:r>
        <w:t>a) prawomocne wyroki w sprawie przestępstw, o których mowa w art. 25 ust. 1, były rejestrowane, w szczególności w krajowych rejestrach karnych dla osób prawnych i osób fizycznych;</w:t>
      </w:r>
    </w:p>
    <w:p>
      <w:r>
        <w:t>b) informacje o kluczowych osobach zgodnie z art. 25 ust. 1 akapit drugi były rejestrowane, w szczególności w krajowych rejestrach zawodowych lub handlowych;</w:t>
      </w:r>
    </w:p>
    <w:p>
      <w:r>
        <w:t>c) dowody dotyczące zaległych płatności podatków lub składek na ubezpieczenie społeczne zgodnie z art. 25 ust. 2 były rejestrowane, w szczególności w krajowych rejestrach zawodowych lub handlowych oraz w bazach danych dotyczących podatków i bazach danych dotyczących zabezpieczenia społecznego;</w:t>
      </w:r>
    </w:p>
    <w:p>
      <w:r>
        <w:t>d) dowody dotyczące upadłości, niewypłacalności i restrukturyzacji zgodnie z art. 25 ust. 4 lit. b) były rejestrowane, w szczególności w krajowych rejestrach zawodowych lub handlowych oraz w krajowych rejestrach upadłości, niewypłacalności i reorganizacji, w tym w rejestrach sądowych;</w:t>
      </w:r>
    </w:p>
    <w:p>
      <w:r>
        <w:t>e) dowody dotyczące zgodności z kryteriami kwalifikacji określonymi na podstawie art. 27 niniejszego rozporządzenia oraz na potrzeby oceny pochodzenia na podstawie art. 74 niniejszego rozporządzenia są przechowywane, w szczególności w krajowych rejestrach zawodowych lub handlowych oraz rejestrach beneficjentów rzeczywistych ustanowionych na podstawie art. 12 dyrektywy (UE) 2024/1640;</w:t>
      </w:r>
    </w:p>
    <w:p>
      <w:r>
        <w:t>f) rejestruje się wszelkie inne ustrukturyzowane dowody istotne z punktu widzenia zakresu stosowania niniejszego rozporządzenia, takie jak etykiety, specyfikacje, w tym wymogi bezpieczeństwa, lub środki dowodowe w odniesieniu do wymogów dotyczących produktów zgodnie z art. 92.</w:t>
      </w:r>
    </w:p>
    <w:p>
      <w:r>
        <w:t>2. Dostęp na podstawie ust. 1 zapewnia się w miarę możliwości w taki sposób, aby elektroniczna usługa kwalifikowalności mogła zautomatyzować weryfikację, jak określono w art. 28 ust. 2. Zautomatyzowaną weryfikację zapewnia się w szczególności w odniesieniu do krajowych rejestrów karnych, podatkowych baz danych i baz danych dotyczących zabezpieczenia społecznego, a także krajowych rejestrów upadłości, niewypłacalności i reorganizacji. Taka weryfikacja podlega odpowiednim środkom ochrony praw i wolności osób, których dane dotyczą, zgodnie z art. 10 i 22 rozporządzenia (UE) 2016/679. Dane osobowe wykorzystuje się wyłącznie w celu zapewnienia, aby wykonawca spełniał wymogi niniejszego rozporządzenia.</w:t>
      </w:r>
    </w:p>
    <w:p>
      <w:r>
        <w:t>3. Państwa członkowskie informują Komisję o wszelkich nowo utworzonych krajowych bazach danych, które są w stanie dostarczyć środków dowodowych za pomocą cyfrowego narzędzia do wydawania poświadczeń przedsiębiorstwa, oraz zapewniają bezpłatny dostęp cyfrowego narzędzia do wydawania poświadczeń przedsiębiorstwa do takich krajowych baz danych.</w:t>
      </w:r>
    </w:p>
    <w:p>
      <w:pPr>
        <w:pStyle w:val="Heading2"/>
        <w:jc w:val="center"/>
      </w:pPr>
      <w:r>
        <w:t>Część III</w:t>
      </w:r>
    </w:p>
    <w:p>
      <w:pPr>
        <w:pStyle w:val="Heading2"/>
        <w:jc w:val="center"/>
      </w:pPr>
      <w:r>
        <w:t>Procedury udzielania zamówień publicznych</w:t>
      </w:r>
    </w:p>
    <w:p>
      <w:pPr>
        <w:pStyle w:val="Heading2"/>
        <w:jc w:val="center"/>
      </w:pPr>
      <w:r>
        <w:t>Tytuł I</w:t>
      </w:r>
    </w:p>
    <w:p>
      <w:pPr>
        <w:pStyle w:val="Heading2"/>
        <w:jc w:val="center"/>
      </w:pPr>
      <w:r>
        <w:t>Postępowania o udzielenie zamówienia publicznego</w:t>
      </w:r>
    </w:p>
    <w:p>
      <w:pPr>
        <w:pStyle w:val="Heading2"/>
        <w:jc w:val="center"/>
      </w:pPr>
      <w:r>
        <w:t>Rozdział 1</w:t>
      </w:r>
    </w:p>
    <w:p>
      <w:pPr>
        <w:pStyle w:val="Heading2"/>
        <w:jc w:val="center"/>
      </w:pPr>
      <w:r>
        <w:t>Etapy wstępne i przepisy ogólne</w:t>
      </w:r>
    </w:p>
    <w:p>
      <w:pPr>
        <w:pStyle w:val="Heading3"/>
        <w:jc w:val="center"/>
      </w:pPr>
      <w:r>
        <w:t>Artykuł 30</w:t>
      </w:r>
    </w:p>
    <w:p>
      <w:pPr>
        <w:pStyle w:val="Heading4"/>
        <w:jc w:val="center"/>
      </w:pPr>
      <w:r>
        <w:t>Wstępne konsultacje rynkowe</w:t>
      </w:r>
    </w:p>
    <w:p>
      <w:r>
        <w:t>1. Nabywcy publiczni mogą przeprowadzać konsultacje rynkowe w celu przygotowania swoich zamówień i zdobycia wiedzy rynkowej, w tym na temat dostępności lub potencjału opracowywania innowacyjnych rozwiązań.</w:t>
      </w:r>
    </w:p>
    <w:p>
      <w:r>
        <w:t>2. W przypadku gdy nabywcy publiczni przeprowadzają konsultacje rynkowe zgodnie z ust. 1 niniejszego artykułu, ogłaszają oni te konsultacje zgodnie z art. 110.</w:t>
      </w:r>
    </w:p>
    <w:p>
      <w:r>
        <w:t>3. Podczas konsultacji rynkowych nabywcy publiczni mogą zwracać się o informacje i porady do ogółu społeczeństwa, niezależnych ekspertów, organów publicznych, uczestników rynku lub innych odpowiednich stron lub przyjmować takie informacje i porady. Informacje i porady mogą mieć formę pisemnej lub ustnej wymiany informacji, demonstracji prototypów, demonstracji na żywo lub innych odpowiednich obiektywnych formatów. Takie informacje i porady mogą być wykorzystywane przy planowaniu i przeprowadzaniu postępowań o udzielenie zamówienia, z poszanowaniem zasad równego traktowania, niedyskryminacji, uczciwej konkurencji i przejrzystości.</w:t>
      </w:r>
    </w:p>
    <w:p>
      <w:r>
        <w:t>4. Udział wykonawcy w konsultacjach rynkowych nie przesądza o jego kwalifikowalności do postępowania o udzielenie zamówienia.</w:t>
      </w:r>
    </w:p>
    <w:p>
      <w:pPr>
        <w:pStyle w:val="Heading3"/>
        <w:jc w:val="center"/>
      </w:pPr>
      <w:r>
        <w:t>Artykuł 31</w:t>
      </w:r>
    </w:p>
    <w:p>
      <w:pPr>
        <w:pStyle w:val="Heading4"/>
        <w:jc w:val="center"/>
      </w:pPr>
      <w:r>
        <w:t>Wybór procedury</w:t>
      </w:r>
    </w:p>
    <w:p>
      <w:r>
        <w:t>1. Nabywcy publiczni mogą stosować procedurę otwartą określoną w art. 34 i procedurę dynamiczną określoną w art. 36 niezależnie od rodzaju potrzebnych robót budowlanych, dostaw lub usług.</w:t>
      </w:r>
    </w:p>
    <w:p>
      <w:r>
        <w:t>2. Nabywcy publiczni mogą stosować procedurę innowacyjną w celu sprostania wyzwaniu społecznemu, w odniesieniu do którego nie zidentyfikowali istniejącego odpowiedniego lub pożądanego rozwiązania, które ma zostać opracowane przez zwycięskiego oferenta lub zwycięskich oferentów w trakcie procedury innowacyjnej.</w:t>
      </w:r>
    </w:p>
    <w:p>
      <w:r>
        <w:t>3. Nabywcy publiczni mogą stosować procedurę specjalną opisaną w art. 46 wyłącznie w szczególnych przypadkach i okolicznościach określonych w art. 47 i 48.</w:t>
      </w:r>
    </w:p>
    <w:p>
      <w:pPr>
        <w:pStyle w:val="Heading3"/>
        <w:jc w:val="center"/>
      </w:pPr>
      <w:r>
        <w:t>Artykuł 32</w:t>
      </w:r>
    </w:p>
    <w:p>
      <w:pPr>
        <w:pStyle w:val="Heading4"/>
        <w:jc w:val="center"/>
      </w:pPr>
      <w:r>
        <w:t>Szacunkowa wartość zamówienia</w:t>
      </w:r>
    </w:p>
    <w:p>
      <w:r>
        <w:t>1. Nabywcy publiczni zamierzający udzielić zamówienia szacują wartość zamówienia na podstawie szacunkowych kosztów rozwiązania, które spełnia potrzeby nabywcy publicznego. Oszacowanie opiera się na maksymalnej kwocie, która ma zostać wydana na zaspokojenie potrzeb w całym okresie obowiązywania zamówienia, bez względu na to, czy zamówienie zostało udzielone jednemu wykonawcy czy większej ich liczbie, w tym na wszystkie formy płatności i korzyści, takie jak:</w:t>
      </w:r>
    </w:p>
    <w:p>
      <w:r>
        <w:t>a) składki, opłaty, prowizje i odsetki;</w:t>
      </w:r>
    </w:p>
    <w:p>
      <w:r>
        <w:t>b) całkowitą wartość opcji lub przedłużeń, jeżeli umowa przewiduje możliwość opcji lub przedłużeń.</w:t>
      </w:r>
    </w:p>
    <w:p>
      <w:r>
        <w:t>2. W przypadku gdy nabywcy publiczni zawierają więcej niż jedno kolejne zamówienie w celu zaspokojenia swoich potrzeb, obliczenie wartości szacunkowej opiera się na:</w:t>
      </w:r>
    </w:p>
    <w:p>
      <w:r>
        <w:t>a) wartość powtarzających się zamówień na ten sam rodzaj zakupu w ciągu poprzednich 12 miesięcy lub poprzedniego roku podatkowego nabywcy, skorygowana, w miarę możliwości, w celu uwzględnienia przewidywanych zmian w ilości lub szacunkowej wartości rozwiązania, które ma zostać zamówione w ciągu kolejnych 12 miesięcy;</w:t>
      </w:r>
    </w:p>
    <w:p>
      <w:r>
        <w:t>b) szacunkowa wartość powtarzających się zamówień na ten sam rodzaj zakupu w ciągu 12 miesięcy następujących po pierwotnym zamówieniu lub w poprzednim roku podatkowym nabywcy publicznego.</w:t>
      </w:r>
    </w:p>
    <w:p>
      <w:pPr>
        <w:pStyle w:val="Heading3"/>
        <w:jc w:val="center"/>
      </w:pPr>
      <w:r>
        <w:t>Artykuł 33</w:t>
      </w:r>
    </w:p>
    <w:p>
      <w:pPr>
        <w:pStyle w:val="Heading4"/>
        <w:jc w:val="center"/>
      </w:pPr>
      <w:r>
        <w:t>Prowadzenie negocjacji</w:t>
      </w:r>
    </w:p>
    <w:p>
      <w:r>
        <w:t>1. Nabywcy publiczni przestrzegają zasad proporcjonalności i równego traktowania podczas prowadzenia negocjacji oraz zapewniają, aby w każdej rundzie negocjacji liczba omawianych rozwiązań umożliwiała prawdziwą konkurencję. Nabywcy publiczni zapewniają, aby jakiekolwiek ujawnienie informacji podczas negocjacji nie miało wpływu na interesy handlowe wykonawców biorących udział w takich negocjacjach.</w:t>
      </w:r>
    </w:p>
    <w:p>
      <w:r>
        <w:t>2. Bez uszczerbku dla innych odpowiednich przepisów Unii nabywcy publiczni mogą negocjować wszystkie inne niż istotne cechy robót budowlanych, dostaw i usług przeznaczonych do zakupu, które mogą obejmować niektóre elementy związane na przykład z wartością techniczną, ilością, warunkami dostawy i innymi aspektami handlowymi, ale nie obejmują podstaw wykluczenia, kryteriów kwalifikacji i kryteriów udzielenia zamówienia.</w:t>
      </w:r>
    </w:p>
    <w:p>
      <w:r>
        <w:t>Nabywcy publiczni wyraźnie wskazują w publicznym podsumowaniu warunków konkurencji cechy robót budowlanych, dostaw i usług, które nie są przedmiotem negocjacji. Wskazania te muszą być wystarczająco precyzyjne i wyczerpujące, aby określały przedmiot zamówienia, oraz muszą zawierać istotne warunki zamówienia, na których wykonawcy zgodnie z prawem opieraliby się przy podejmowaniu decyzji o uczestnictwie w procedurze udzielania zamówienia.</w:t>
      </w:r>
    </w:p>
    <w:p>
      <w:r>
        <w:t>Negocjacje nie mogą w istotny sposób zmieniać przedmiotu zamówienia.</w:t>
      </w:r>
    </w:p>
    <w:p>
      <w:r>
        <w:t>3. Nabywcy publiczni mogą prowadzić negocjacje w jednej lub kilku rundach. Po każdej rundzie wykonawcy uczestniczący w negocjacjach są zapraszani do złożenia oferty, a nabywcy publiczni mogą podjąć decyzję o zmniejszeniu liczby uczestników na podstawie kryteriów udzielenia zamówienia określonych zgodnie z art. 98.</w:t>
      </w:r>
    </w:p>
    <w:p>
      <w:r>
        <w:t>Nabywcy publiczni informują wykonawcy o rozpoczęciu nowej rundy negocjacji oraz o tym, czy zostaną zaproszeni. Nabywcy publiczni informują wszystkich oferentów, których oferty nie zostały wyeliminowane, o wszelkich zmianach w specyfikacji lub zmianach w innych częściach specyfikacji istotnych warunków zamówienia w wyniku negocjacji.</w:t>
      </w:r>
    </w:p>
    <w:p>
      <w:r>
        <w:t>Nabywcy publiczni zapewniają oferentom wystarczająco dużo czasu na zmianę i ponowne złożenie poprawionych ofert, stosownie do przypadku. Wykonawcy mogą składać zmienione oferty w zależności od wyniku negocjacji.</w:t>
      </w:r>
    </w:p>
    <w:p>
      <w:r>
        <w:t>W przypadku gdy nabywca publiczny postanowił zakończyć negocjacje i przystąpić do udzielenia zamówienia, zaprasza każdego z pozostałych wykonawców do złożenia ostatecznej oferty.</w:t>
      </w:r>
    </w:p>
    <w:p>
      <w:pPr>
        <w:pStyle w:val="Heading2"/>
        <w:jc w:val="center"/>
      </w:pPr>
      <w:r>
        <w:t>Rozdział 2</w:t>
      </w:r>
    </w:p>
    <w:p>
      <w:pPr>
        <w:pStyle w:val="Heading2"/>
        <w:jc w:val="center"/>
      </w:pPr>
      <w:r>
        <w:t>Przetarg otwarty</w:t>
      </w:r>
    </w:p>
    <w:p>
      <w:pPr>
        <w:pStyle w:val="Heading3"/>
        <w:jc w:val="center"/>
      </w:pPr>
      <w:r>
        <w:t>Artykuł 34</w:t>
      </w:r>
    </w:p>
    <w:p>
      <w:pPr>
        <w:pStyle w:val="Heading4"/>
        <w:jc w:val="center"/>
      </w:pPr>
      <w:r>
        <w:t>Rozpoczęcie i przeprowadzenie procedury otwartej</w:t>
      </w:r>
    </w:p>
    <w:p>
      <w:r>
        <w:t>1. W procedurze otwartej nabywcy publiczni informują o swoich potrzebach w zakresie zamówień publicznych w publicznym podsumowaniu warunków konkurencji publikowanym zgodnie z art. 110, określającym, czy i które kryteria kwalifikacji mają zastosowanie oraz czy zamierzają negocjować.</w:t>
      </w:r>
    </w:p>
    <w:p>
      <w:r>
        <w:t>2. Każdy zainteresowany wykonawca może wyrazić swoje zainteresowanie i złożyć ofertę („pierwsza oferta”) przy użyciu elektronicznej usługi kwalifikowalności, o której mowa w art. 133. Oświadczenie o wyrażeniu zainteresowania składa się wraz z ofertą określającą w szczególności sposób, w jaki wykonawca proponuje zaspokoić potrzeby nabywcy publicznego. Termin przyjmowania zgłoszeń o wyrażeniu zainteresowania wraz z ofertami nie może być krótszy niż 20 dni od daty publikacji publicznego podsumowania warunków konkurencji.</w:t>
      </w:r>
    </w:p>
    <w:p>
      <w:r>
        <w:t>3. W przypadku gdy nabywca publiczny wskazał, że nie zamierza prowadzić negocjacji, udziela zamówienia zgodnie z art. 98 co najmniej jednemu wykonawcy, który nie znajduje się w sytuacji wykluczenia i, w stosownych przypadkach, spełnia kryteria kwalifikacji określone zgodnie z art. 27. Zamówienia udziela się na podstawie pierwszych ofert złożonych zgodnie z ust. 2.</w:t>
      </w:r>
    </w:p>
    <w:p>
      <w:r>
        <w:t>4. W przypadku gdy nabywca publiczny wskazał, że zamierza prowadzić negocjacje, wysyła zaproszenie do negocjacji do wszystkich zainteresowanych wykonawców, którzy nie znajdują się w sytuacji wykluczenia oraz, w stosownych przypadkach, spełniają kryteria kwalifikacji określone zgodnie z art. 27.</w:t>
      </w:r>
    </w:p>
    <w:p>
      <w:r>
        <w:t>5. Negocjacje prowadzone są zgodnie z art. 33. W przypadku gdy nabywca publiczny podjął decyzję o zakończeniu negocjacji i zaprosił każdego z pozostałych wykonawców do złożenia ostatecznej oferty, zamówienia udziela się na podstawie tych ostatecznych ofert.</w:t>
      </w:r>
    </w:p>
    <w:p>
      <w:r>
        <w:t>6. Nabywcy publiczni mogą podjąć decyzję o niepodejmowaniu negocjacji, mimo że wyrazili taki zamiar, lecz o udzieleniu zamówienia na podstawie pierwszych ofert, pod warunkiem że zastrzegli taką możliwość w publicznym podsumowaniu warunków konkurencji.</w:t>
      </w:r>
    </w:p>
    <w:p>
      <w:pPr>
        <w:pStyle w:val="Heading3"/>
        <w:jc w:val="center"/>
      </w:pPr>
      <w:r>
        <w:t>Artykuł 35</w:t>
      </w:r>
    </w:p>
    <w:p>
      <w:pPr>
        <w:pStyle w:val="Heading4"/>
        <w:jc w:val="center"/>
      </w:pPr>
      <w:r>
        <w:t>Zakończenie procedury i udzielenie zamówienia</w:t>
      </w:r>
    </w:p>
    <w:p>
      <w:r>
        <w:t>1. Nabywcy publiczni udzielają zamówienia oferentowi lub oferentom, którzy złożyli ofertę najkorzystniejszą ekonomicznie zgodnie z art. 98.</w:t>
      </w:r>
    </w:p>
    <w:p>
      <w:r>
        <w:t>2. Bez uszczerbku dla okresu zawieszenia ustanowionego w dyrektywach 89/665/EWG[43] i 92/13/EWG[44] umowę zawiera się zgodnie z mającym zastosowanie prawem państwa członkowskiego nabywcy publicznego.</w:t>
      </w:r>
    </w:p>
    <w:p>
      <w:r>
        <w:rPr>
          <w:sz w:val="16"/>
        </w:rPr>
        <w:t>43 Dyrektywa Rady 89/665/EWG z dnia 21 grudnia 1989 r. w sprawie koordynacji przepisów ustawowych, wykonawczych i administracyjnych odnoszących się do stosowania procedur odwoławczych w zakresie udzielania zamówień publicznych na dostawy i roboty budowlane (Dz.U. L 395 z 30.12.1989, s. 33, ELI: http://data.europa.eu/eli/dir/1989/665/oj).</w:t>
      </w:r>
    </w:p>
    <w:p>
      <w:r>
        <w:rPr>
          <w:sz w:val="16"/>
        </w:rPr>
        <w:t>44 Dyrektywa Rady 92/13/EWG z dnia 25 lutego 1992 r. koordynująca przepisy ustawowe, wykonawcze i administracyjne odnoszące się do stosowania przepisów wspólnotowych w procedurach zamówień publicznych podmiotów działających w sektorach gospodarki wodnej, energetyki, transportu i telekomunikacji (Dz.U. L 76 z 23.3.1992, s. 14,</w:t>
      </w:r>
    </w:p>
    <w:p>
      <w:pPr>
        <w:pStyle w:val="Heading2"/>
        <w:jc w:val="center"/>
      </w:pPr>
      <w:r>
        <w:t>Rozdział 3</w:t>
      </w:r>
    </w:p>
    <w:p>
      <w:pPr>
        <w:pStyle w:val="Heading2"/>
        <w:jc w:val="center"/>
      </w:pPr>
      <w:r>
        <w:t>Procedura dynamiczna</w:t>
      </w:r>
    </w:p>
    <w:p>
      <w:pPr>
        <w:pStyle w:val="Heading3"/>
        <w:jc w:val="center"/>
      </w:pPr>
      <w:r>
        <w:t>Artykuł 36</w:t>
      </w:r>
    </w:p>
    <w:p>
      <w:pPr>
        <w:pStyle w:val="Heading4"/>
        <w:jc w:val="center"/>
      </w:pPr>
      <w:r>
        <w:t>Procedura dynamiczna</w:t>
      </w:r>
    </w:p>
    <w:p>
      <w:r>
        <w:t>Nabywcy publiczni mogą stosować procedurę dynamiczną, w której jedynie wykonawcy, którzy przystąpili do danej procedury, są zapraszani do wyrażenia zainteresowania, złożenia oferty lub udziału w negocjacjach dotyczących poszczególnych zamówień w oparciu o tę procedurę. Wykonawcy mogą złożyć wniosek o dopuszczenie do udziału w postępowaniu w dowolnym momencie jego ważności.</w:t>
      </w:r>
    </w:p>
    <w:p>
      <w:pPr>
        <w:pStyle w:val="Heading3"/>
        <w:jc w:val="center"/>
      </w:pPr>
      <w:r>
        <w:t>Artykuł 37</w:t>
      </w:r>
    </w:p>
    <w:p>
      <w:pPr>
        <w:pStyle w:val="Heading4"/>
        <w:jc w:val="center"/>
      </w:pPr>
      <w:r>
        <w:t>Rozpoczęcie i ważność procedury dynamicznej</w:t>
      </w:r>
    </w:p>
    <w:p>
      <w:r>
        <w:t>1. Nabywcy publiczni przeprowadzający procedurę dynamiczną publikują publiczne podsumowanie konkurencji w momencie rozpoczęcia procedury dynamicznej zgodnie z art. 110, w którym wskazuje się czas trwania procedury, w którym zainteresowani wykonawcy mogą złożyć wniosek o dopuszczenie do udziału w procedurze oraz w którym można dokonać nabycia na podstawie procedury. Procedura dynamiczna pozostaje otwarta dla wszystkich zainteresowanych wykonawców przez cały okres jej ważności.</w:t>
      </w:r>
    </w:p>
    <w:p>
      <w:r>
        <w:t>2. Nabywcy publiczni mogą wybrać między przeprowadzeniem procedury dynamicznej bez kryteriów kwalifikacji zgodnie z art. 38 lub procedury dynamicznej z kryteriami kwalifikacji zgodnie z art. 39 a podjęciem negocjacji zgodnie z art.</w:t>
      </w:r>
    </w:p>
    <w:p>
      <w:r>
        <w:t>33. Dokonane wybory wskazuje się w publicznym podsumowaniu dotyczącym konkurencji w momencie rozpoczęcia procedury dynamicznej.</w:t>
      </w:r>
    </w:p>
    <w:p>
      <w:r>
        <w:t>3. W przypadku gdy nabywcy publiczni zamierzają udzielić indywidualnego zamówienia po raz pierwszy na podstawie procedury dynamicznej, zaproszenie do wyrażenia zainteresowania konkretnym zamówieniem następuje nie wcześniej niż 25 dni po opublikowaniu publicznego podsumowania konkurencji w momencie rozpoczęcia procedury dynamicznej.</w:t>
      </w:r>
    </w:p>
    <w:p>
      <w:pPr>
        <w:pStyle w:val="Heading3"/>
        <w:jc w:val="center"/>
      </w:pPr>
      <w:r>
        <w:t>Artykuł 38</w:t>
      </w:r>
    </w:p>
    <w:p>
      <w:pPr>
        <w:pStyle w:val="Heading4"/>
        <w:jc w:val="center"/>
      </w:pPr>
      <w:r>
        <w:t>Przebieg procedury dynamicznej bez kryteriów kwalifikacji</w:t>
      </w:r>
    </w:p>
    <w:p>
      <w:r>
        <w:t>ELI: http://data.europa.eu/eli/dir/1992/13/oj).</w:t>
      </w:r>
    </w:p>
    <w:p>
      <w:r>
        <w:t>1. Po opublikowaniu publicznego podsumowania warunków konkurencji i do czasu wygaśnięcia ważności postępowania wykonawcy mogą przystąpić do postępowania, udostępniając swój profil nabywcy publicznemu za pośrednictwem systemu kwalifikowalności ustanowionego na podstawie art. 133. Dzieląc się swoim profilem, wykonawcy oświadczają, że posiadają kwalifikacje do realizacji zamówienia.</w:t>
      </w:r>
    </w:p>
    <w:p>
      <w:r>
        <w:t>2. W przypadku gdy nabywcy publiczni zamierzają udzielić poszczególnych zamówień w oparciu o procedurę dynamiczną, informują wszystkich wykonawców, którzy do tego momentu przystąpili do postępowania, o poszczególnych zamówieniach, które mają zostać udzielone, w tym o dokładnym opisie, ilości i terminie danego zakupu. Nabywcy publiczni zapraszają wszystkie wykonawcy uczestniczące w procedurze dynamicznej do wyrażenia zainteresowania konkretnym zamówieniem, które ma zostać udzielone, wyznaczając rozsądny termin wyrażenia zainteresowania.</w:t>
      </w:r>
    </w:p>
    <w:p>
      <w:r>
        <w:t>3. Po upływie terminu, o którym mowa w ust. 2, nabywcy publiczni zapraszają wykonawców, którzy wyrazili zainteresowanie udzieleniem konkretnego zamówienia, do złożenia oferty albo pierwszej oferty, a następnie negocjacji.</w:t>
      </w:r>
    </w:p>
    <w:p>
      <w:r>
        <w:t>W przypadku gdy liczba zgłoszeń zainteresowania przekracza pięć, nabywca publiczny może, zamiast zapraszać wszystkie wykonawcy, które wyraziły zainteresowanie, zaprosić tylko pięć lub większą liczbę wykonawców wybranych za pośrednictwem elektronicznej usługi kwalifikowalności w drodze losowego, niezróżnicowanego algorytmicznego określania, oraz informuje za pośrednictwem systemu kwalifikowalności wszystkie niezaproszone wykonawcy.</w:t>
      </w:r>
    </w:p>
    <w:p>
      <w:r>
        <w:t>4. Jedynie wykonawcy, którzy złożyli ofertę, są uznawani za zainteresowanych oferentów w rozumieniu dyrektyw 89/665/EWG i 92/13/EWG.</w:t>
      </w:r>
    </w:p>
    <w:p>
      <w:pPr>
        <w:pStyle w:val="Heading3"/>
        <w:jc w:val="center"/>
      </w:pPr>
      <w:r>
        <w:t>Artykuł 39</w:t>
      </w:r>
    </w:p>
    <w:p>
      <w:pPr>
        <w:pStyle w:val="Heading4"/>
        <w:jc w:val="center"/>
      </w:pPr>
      <w:r>
        <w:t>Przebieg procedury dynamicznej z kryteriami wyboru</w:t>
      </w:r>
    </w:p>
    <w:p>
      <w:r>
        <w:t>1. Po opublikowaniu publicznego podsumowania warunków konkurencji i do czasu wygaśnięcia ważności procedury wykonawcy mogą złożyć wniosek o dopuszczenie do udziału w postępowaniu, udostępniając swój profil nabywcy publicznemu za pośrednictwem systemu kwalifikowalności ustanowionego zgodnie z art. 133. Dzieląc się swoim profilem, wykonawcy oświadczają, że posiadają kwalifikacje do realizacji zamówienia.</w:t>
      </w:r>
    </w:p>
    <w:p>
      <w:r>
        <w:t>2. Nabywca publiczny dopuszcza wykonawców do udziału w postępowaniu na podstawie kryteriów kwalifikacji wskazanych w publicznym podsumowaniu warunków konkurencji.</w:t>
      </w:r>
    </w:p>
    <w:p>
      <w:r>
        <w:t>3. W przypadku gdy nabywcy publiczni zamierzają udzielić poszczególnych zamówień w oparciu o procedurę dynamiczną, informują wszystkich wykonawców, którzy do tego momentu zostali wybrani do udziału w postępowaniu, o poszczególnych zamówieniach, które mają zostać udzielone, w tym o dokładnym opisie, ilości i terminie danego zakupu. Nabywcy publiczni zapraszają wszystkie wykonawcy uczestniczące w procedurze dynamicznej do wyrażenia zainteresowania konkretnym zamówieniem, które ma zostać udzielone, wyznaczając rozsądny termin wyrażenia zainteresowania.</w:t>
      </w:r>
    </w:p>
    <w:p>
      <w:r>
        <w:t>4. Po upływie terminu, o którym mowa w ust. 3, nabywcy publiczni zapraszają wszystkie wykonawcy, które wyraziły zainteresowanie udzieleniem konkretnego zamówienia, do złożenia oferty albo pierwszej oferty, a następnie negocjacji.</w:t>
      </w:r>
    </w:p>
    <w:p>
      <w:r>
        <w:t>Na zasadzie odstępstwa od akapitu pierwszego nabywcy publiczni mogą podjąć decyzję o zaproszeniu do udzielenia konkretnego zamówienia tylko części wykonawców, którzy wyrazili zainteresowanie tym zamówieniem, na podstawie obiektywnych i niedyskryminacyjnych kryteriów lub zasad, pod warunkiem że wskazali je w publicznym podsumowaniu warunków konkurencji w momencie rozpoczęcia procedury dynamicznej.</w:t>
      </w:r>
    </w:p>
    <w:p>
      <w:pPr>
        <w:pStyle w:val="Heading3"/>
        <w:jc w:val="center"/>
      </w:pPr>
      <w:r>
        <w:t>Artykuł 40</w:t>
      </w:r>
    </w:p>
    <w:p>
      <w:pPr>
        <w:pStyle w:val="Heading4"/>
        <w:jc w:val="center"/>
      </w:pPr>
      <w:r>
        <w:t>Zakończenie procedury i udzielenie zamówienia</w:t>
      </w:r>
    </w:p>
    <w:p>
      <w:r>
        <w:t>1. Nabywcy publiczni oceniają ostateczne oferty zgodnie z art. 98 i sporządzają ranking wszystkich wykonawców, którzy złożyli ostateczną ofertę. Nabywcy publiczni udzielają zamówienia co najmniej jednemu wykonawcy, który nie znajduje się w sytuacji wykluczenia. Wyniki tej oceny, w tym ranking, są ujawniane oferentom.</w:t>
      </w:r>
    </w:p>
    <w:p>
      <w:r>
        <w:t>2. W odniesieniu do każdego zamówienia podpisanego w ramach procedury dynamicznej nabywcy publiczni publikują publiczne podsumowanie wyników zgodnie z art. 110.</w:t>
      </w:r>
    </w:p>
    <w:p>
      <w:pPr>
        <w:pStyle w:val="Heading2"/>
        <w:jc w:val="center"/>
      </w:pPr>
      <w:r>
        <w:t>Rozdział 4</w:t>
      </w:r>
    </w:p>
    <w:p>
      <w:pPr>
        <w:pStyle w:val="Heading2"/>
        <w:jc w:val="center"/>
      </w:pPr>
      <w:r>
        <w:t>Procedura innowacyjna</w:t>
      </w:r>
    </w:p>
    <w:p>
      <w:pPr>
        <w:pStyle w:val="Heading3"/>
        <w:jc w:val="center"/>
      </w:pPr>
      <w:r>
        <w:t>Artykuł 41</w:t>
      </w:r>
    </w:p>
    <w:p>
      <w:pPr>
        <w:pStyle w:val="Heading4"/>
        <w:jc w:val="center"/>
      </w:pPr>
      <w:r>
        <w:t>Opracowanie i przeprowadzenie procedury innowacyjnej</w:t>
      </w:r>
    </w:p>
    <w:p>
      <w:r>
        <w:t>1. Nabywcy publiczni mogą stosować procedurę innowacyjną określoną w niniejszym rozdziale w celu sprostania wyzwaniu społecznemu.</w:t>
      </w:r>
    </w:p>
    <w:p>
      <w:r>
        <w:t>2. Procedurę innowacyjną przeprowadza się w następujących fazach:</w:t>
      </w:r>
    </w:p>
    <w:p>
      <w:r>
        <w:t>a) określenie wyzwań społecznych i opracowanie ram oceny wartości;</w:t>
      </w:r>
    </w:p>
    <w:p>
      <w:r>
        <w:t>b) wszczęcie procedury;</w:t>
      </w:r>
    </w:p>
    <w:p>
      <w:r>
        <w:t>c) wybór propozycji innowacyjnych rozwiązań;</w:t>
      </w:r>
    </w:p>
    <w:p>
      <w:r>
        <w:t>d) testowanie, walidacja i ocena propozycji innowacyjnych rozwiązań;</w:t>
      </w:r>
    </w:p>
    <w:p>
      <w:r>
        <w:t>e) udzielenie zamówienia publicznego.</w:t>
      </w:r>
    </w:p>
    <w:p>
      <w:r>
        <w:t>3. Nabywcy publiczni określają wyzwanie społeczne, w odniesieniu do którego potrzebują propozycji innowacyjnych rozwiązań, oraz określają ramy oceny wartości, które będą stosowane w trakcie procedury oceny wartości dodanej propozycji innowacyjnych rozwiązań odnoszących się do tego wyzwania społecznego. Ramy oceny wartości wykorzystują wskaźniki efektywności do pomiaru, w jakim stopniu proponowane innowacyjne rozwiązanie przyczynia się do sprostania wyzwaniu społecznemu w obiektywny i wymierny sposób. Zawiera on system punktacji i wskazuje minimalną liczbę punktów wymaganą do tego, aby wnioski dotyczące innowacyjnych rozwiązań przechodziły do poszczególnych etapów procedury innowacyjnej.</w:t>
      </w:r>
    </w:p>
    <w:p>
      <w:r>
        <w:t>4. Elementy ram oceny wartości mogą odnosić się w szczególności do:</w:t>
      </w:r>
    </w:p>
    <w:p>
      <w:r>
        <w:t>a) zwiększoną wartość dla użytkownika i procesu, taką jak informacje zwrotne zebrane od obywateli podczas testowania i walidacji propozycji innowacyjnego rozwiązania;</w:t>
      </w:r>
    </w:p>
    <w:p>
      <w:r>
        <w:t>b) kluczowe wskaźniki skuteczności działania dotyczące zwiększenia efektywności lub zmniejszenia uciążliwości w świadczeniu usług publicznych, poprawy wyników w zakresie zrównoważonego rozwoju, poprawy ochrony zdrowia, zmniejszenia wpływu na środowisko lub zwiększenia bezpieczeństwa i odporności, takie jak bezpieczniejsze systemy cyberbezpieczeństwa;</w:t>
      </w:r>
    </w:p>
    <w:p>
      <w:r>
        <w:t>c) oszczędności kosztów dla nabywcy publicznego w porównaniu z tradycyjnymi lub wcześniej stosowanymi rozwiązaniami.</w:t>
      </w:r>
    </w:p>
    <w:p>
      <w:pPr>
        <w:pStyle w:val="Heading3"/>
        <w:jc w:val="center"/>
      </w:pPr>
      <w:r>
        <w:t>Artykuł 42</w:t>
      </w:r>
    </w:p>
    <w:p>
      <w:pPr>
        <w:pStyle w:val="Heading4"/>
        <w:jc w:val="center"/>
      </w:pPr>
      <w:r>
        <w:t>Rozpoczęcie procedury innowacyjnej</w:t>
      </w:r>
    </w:p>
    <w:p>
      <w:r>
        <w:t>1. Przed rozpoczęciem procedury innowacyjnej nabywcy publiczni przeprowadzają konsultacje rynkowe zgodnie z art. 30, które trwają co najmniej dwa miesiące, chyba że ze względu na specyfikę zamówienia uzasadniony jest krótszy okres.</w:t>
      </w:r>
    </w:p>
    <w:p>
      <w:r>
        <w:t>2. Nabywca publiczny udostępnia w ramach konsultacji rynkowych następujące informacje:</w:t>
      </w:r>
    </w:p>
    <w:p>
      <w:r>
        <w:t>a) wstępny opis wyzwania społecznego;</w:t>
      </w:r>
    </w:p>
    <w:p>
      <w:r>
        <w:t>b) ramy wstępnej oceny wartości;</w:t>
      </w:r>
    </w:p>
    <w:p>
      <w:r>
        <w:t>c) zaproszenie do zgłaszania uwag i dialogu.</w:t>
      </w:r>
    </w:p>
    <w:p>
      <w:r>
        <w:t>3. Po zakończeniu konsultacji rynkowych nabywcy publiczni, na podstawie otrzymanych informacji zwrotnych, przygotowują i rozpoczynają procedurę innowacyjną wraz z publicznym podsumowaniem konkurencji zgodnie z art. 110.</w:t>
      </w:r>
    </w:p>
    <w:p>
      <w:r>
        <w:t>Nabywca publiczny wskazuje w szczegółach zamówienia:</w:t>
      </w:r>
    </w:p>
    <w:p>
      <w:r>
        <w:t>a) ostateczny opis wyzwania społecznego;</w:t>
      </w:r>
    </w:p>
    <w:p>
      <w:r>
        <w:t>b) minimalne wymogi funkcjonalne, które muszą spełniać propozycje innowacyjnych rozwiązań;</w:t>
      </w:r>
    </w:p>
    <w:p>
      <w:r>
        <w:t>c) ramy oceny wartości końcowej;</w:t>
      </w:r>
    </w:p>
    <w:p>
      <w:r>
        <w:t>d) wszelkie wkłady pieniężne lub rzeczowe, które nabywca publiczny zamierza udostępnić lub może udostępnić na etapach postępowania,</w:t>
      </w:r>
    </w:p>
    <w:p>
      <w:r>
        <w:t>e) przewidywane wielkości zamówień;</w:t>
      </w:r>
    </w:p>
    <w:p>
      <w:r>
        <w:t>f) projekt założeń umów dotyczących testowania, walidacji i oceny oraz wdrożenia propozycji innowacyjnych rozwiązań, ze wskazaniem tematów negocjacji w sprawie wdrożenia,</w:t>
      </w:r>
    </w:p>
    <w:p>
      <w:r>
        <w:t>g) informacje dotyczące przydziału praw własności intelektualnej powstałych zgodnie z art. 64 ust. 4.</w:t>
      </w:r>
    </w:p>
    <w:p>
      <w:r>
        <w:t>4. Każdy wykonawca może przedłożyć propozycję nowatorskiego rozwiązania w odpowiedzi na publiczne podsumowanie konkurencji wraz z wszelkimi informacjami niezbędnymi do wyboru propozycji nowatorskich rozwiązań.</w:t>
      </w:r>
    </w:p>
    <w:p>
      <w:pPr>
        <w:pStyle w:val="Heading3"/>
        <w:jc w:val="center"/>
      </w:pPr>
      <w:r>
        <w:t>Artykuł 43</w:t>
      </w:r>
    </w:p>
    <w:p>
      <w:pPr>
        <w:pStyle w:val="Heading4"/>
        <w:jc w:val="center"/>
      </w:pPr>
      <w:r>
        <w:t>Wybór propozycji innowacyjnych rozwiązań</w:t>
      </w:r>
    </w:p>
    <w:p>
      <w:r>
        <w:t>1. W przypadku wyboru propozycji innowacyjnych rozwiązań nabywca publiczny przeprowadza ocenę kwalifikowalności w dwóch etapach.</w:t>
      </w:r>
    </w:p>
    <w:p>
      <w:r>
        <w:t>2. Na pierwszym etapie nabywca publiczny:</w:t>
      </w:r>
    </w:p>
    <w:p>
      <w:r>
        <w:t>a) weryfikuje brak jakiegokolwiek wykluczenia mającego zastosowanie do wykonawcy oraz, w przypadku gdy nabywca publiczny zdecyduje się zastosować kryteria kwalifikacji, dowód spełnienia kryteriów kwalifikacji;</w:t>
      </w:r>
    </w:p>
    <w:p>
      <w:r>
        <w:t>b) potwierdzają, że propozycja innowacyjnego rozwiązania przedstawiona przez wykonawca spełnia minimalne wymogi funkcjonalne zgodnie z art. 42 ust. 3 lit. b).</w:t>
      </w:r>
    </w:p>
    <w:p>
      <w:r>
        <w:t>3. W drugim etapie innowacyjne propozycje rozwiązań wykonawców, które pomyślnie przeszły ocenę zgodnie z ust. 2 niniejszego artykułu, wybiera się zgodnie z kryteriami ram oceny wartości i punktacji oceny, o których mowa w art. 42 ust. 3 lit. c), na podstawie:</w:t>
      </w:r>
    </w:p>
    <w:p>
      <w:r>
        <w:t>a) pozytywną ocenę potencjału innowacyjnego wniosku, a także jego zdolności innowacyjnych do sprostania wyzwaniu społecznemu; oraz</w:t>
      </w:r>
    </w:p>
    <w:p>
      <w:r>
        <w:t>b) pozytywną ocenę wykonalności i skalowalności wniosku.</w:t>
      </w:r>
    </w:p>
    <w:p>
      <w:r>
        <w:t>Drugi etap może zostać przeprowadzony w drodze rozmowy z wykonawcą lub w drodze pisemnej wymiany informacji z wykonawcą.</w:t>
      </w:r>
    </w:p>
    <w:p>
      <w:r>
        <w:t>4. W przypadku gdy propozycja innowacyjnego rozwiązania przedstawiona przez wykonawcę uzyska co najmniej minimalną całkowitą liczbę punktów w odniesieniu do ogólnej pozytywnej oceny, wykonawca ten przechodzi do kolejnego etapu postępowania o udzielenie zamówienia. Nabywca publiczny może ograniczyć liczbę wykonawców do postępowania, jeżeli wskaże taką liczbę w szczegółach zamówienia; w takim przypadku postępują wykonawcy, które uzyskały najwyższą liczbę punktów.</w:t>
      </w:r>
    </w:p>
    <w:p>
      <w:pPr>
        <w:pStyle w:val="Heading3"/>
        <w:jc w:val="center"/>
      </w:pPr>
      <w:r>
        <w:t>Artykuł 44</w:t>
      </w:r>
    </w:p>
    <w:p>
      <w:pPr>
        <w:pStyle w:val="Heading4"/>
        <w:jc w:val="center"/>
      </w:pPr>
      <w:r>
        <w:t>Testowanie, walidacja i ocena propozycji innowacyjnych rozwiązań</w:t>
      </w:r>
    </w:p>
    <w:p>
      <w:r>
        <w:t>1. Nabywca publiczny zaprasza wykonawcy uznane za kwalifikujące się zgodnie z art. 43 do etapu testowania, walidacji i oceny.</w:t>
      </w:r>
    </w:p>
    <w:p>
      <w:r>
        <w:t>2. Czas trwania tego etapu nie przekracza dwóch lat od daty wyboru propozycji innowacyjnych rozwiązań, chyba że jest to należycie uzasadnione.</w:t>
      </w:r>
    </w:p>
    <w:p>
      <w:r>
        <w:t>3. Składa się on z ustrukturyzowanego i systematycznego procesu prowadzonego przez nabywcę publicznego lub w jego imieniu w oparciu o ramy oceny wartości w celu przeprowadzenia ogólnej oceny wniosku, która obejmuje, w stosownych przypadkach:</w:t>
      </w:r>
    </w:p>
    <w:p>
      <w:r>
        <w:t>a) ocenę technicznej, operacyjnej i funkcjonalnej wykonalności propozycji innowacyjnego rozwiązania w odniesieniu do określonego wyzwania społecznego;</w:t>
      </w:r>
    </w:p>
    <w:p>
      <w:r>
        <w:t>b) weryfikację zgodności propozycji innowacyjnego rozwiązania z minimalnymi wymogami funkcjonalnymi i mającymi zastosowanie ramami regulacyjnymi;</w:t>
      </w:r>
    </w:p>
    <w:p>
      <w:r>
        <w:t>c) ocenę wartości dodanej innowacyjnego wniosku w warunkach rzeczywistych lub symulowanych;</w:t>
      </w:r>
    </w:p>
    <w:p>
      <w:r>
        <w:t>d) określenie wszelkich zagrożeń, ograniczeń lub obszarów wymagających poprawy przed wdrożeniem na pełną skalę lub zamówieniem propozycji innowacyjnego rozwiązania.</w:t>
      </w:r>
    </w:p>
    <w:p>
      <w:r>
        <w:t>Mogą one obejmować badania laboratoryjne, próby terenowe, zastosowania pilotażowe, gromadzenie informacji zwrotnych od użytkowników i analizę porównawczą.</w:t>
      </w:r>
    </w:p>
    <w:p>
      <w:r>
        <w:t>4. W przypadku gdy przepisy Unii zapewniają ramy oceny adekwatności propozycji innowacyjnego rozwiązania do sprostania wyzwaniu społecznemu, nabywca publiczny opiera się na tej ocenie.</w:t>
      </w:r>
    </w:p>
    <w:p>
      <w:r>
        <w:t>5. Wszelkie płatności za każdy określony kamień milowy fazy testowania, walidacji i oceny są dokonywane z góry.</w:t>
      </w:r>
    </w:p>
    <w:p>
      <w:r>
        <w:t>6. Na tym etapie wykonawcy mogą dostosować i udoskonalić swoje wnioski w celu zapewnienia zgodności z minimalnymi wymogami funkcjonalnymi i zwiększenia wartości dodanej swoich wniosków.</w:t>
      </w:r>
    </w:p>
    <w:p>
      <w:r>
        <w:t>7. Nabywca publiczny dokonuje ostatecznej oceny ulepszonego wniosku pod kątem zgodności z minimalnymi wymogami funkcjonalnymi i jego wartości dodanej zgodnie z ramami oceny wartości i minimalnymi wynikami.</w:t>
      </w:r>
    </w:p>
    <w:p>
      <w:r>
        <w:t>8. Ocena końcowa, wskazująca pozytywną lub negatywną decyzję o przejściu do etapu udzielania zamówienia publicznego, jest publikowana jako publiczne podsumowanie wyników etapu testowania, walidacji i oceny.</w:t>
      </w:r>
    </w:p>
    <w:p>
      <w:pPr>
        <w:pStyle w:val="Heading3"/>
        <w:jc w:val="center"/>
      </w:pPr>
      <w:r>
        <w:t>Artykuł 45</w:t>
      </w:r>
    </w:p>
    <w:p>
      <w:pPr>
        <w:pStyle w:val="Heading4"/>
        <w:jc w:val="center"/>
      </w:pPr>
      <w:r>
        <w:t>Udzielenie zamówienia publicznego na wdrożenie propozycji innowacyjnego rozwiązania</w:t>
      </w:r>
    </w:p>
    <w:p>
      <w:r>
        <w:t>1. Nabywca publiczny wysyła zaproszenie do negocjacji do każdego wykonawcy, który otrzymał pozytywną decyzję o podjęciu działań zgodnie z art. 44 ust. 8.</w:t>
      </w:r>
    </w:p>
    <w:p>
      <w:r>
        <w:t>2. Oprócz postanowień art. 33 nabywca publiczny wskazuje strukturę negocjacji i określa sposób ich zakończenia, w tym jasną strategię wyjścia umożliwiającą zakończenie postępowania bez udzielenia zamówienia poprzez określenie obiektywnych kryteriów, w którym to przypadku negocjacje uznaje się za zakończone niepowodzeniem.</w:t>
      </w:r>
    </w:p>
    <w:p>
      <w:r>
        <w:t>3. Opis wyzwania społecznego, minimalne wymogi funkcjonalne i ramy oceny wartości nie podlegają negocjacjom.</w:t>
      </w:r>
    </w:p>
    <w:p>
      <w:r>
        <w:t>4. Negocjacje koncentrują się na wdrożeniu propozycji innowacyjnego rozwiązania i mogą obejmować między innymi:</w:t>
      </w:r>
    </w:p>
    <w:p>
      <w:r>
        <w:t>a) zakres dostaw komercyjnych;</w:t>
      </w:r>
    </w:p>
    <w:p>
      <w:r>
        <w:t>b) prawa do eksploatacji na szerszych rynkach;</w:t>
      </w:r>
    </w:p>
    <w:p>
      <w:r>
        <w:t>c) ustalanie cen i ostateczne wielkości zamówień, nieprzekraczające wielkości ogłoszonych zgodnie z art. 42 ust. 3 lit. e);</w:t>
      </w:r>
    </w:p>
    <w:p>
      <w:r>
        <w:t>d) przyszłe modernizacje, warunki konserwacji i obsługi proponowanego innowacyjnego rozwiązania;</w:t>
      </w:r>
    </w:p>
    <w:p>
      <w:r>
        <w:t>e) podział ryzyka technicznego i handlowego związanego z wdrażaniem propozycji innowacyjnych rozwiązań.</w:t>
      </w:r>
    </w:p>
    <w:p>
      <w:r>
        <w:t>5. W przypadku udanych negocjacji z wykonawcą nabywca publiczny udziela zamówienia publicznego na wdrożenie propozycji rozwiązania bezpośrednio temu wykonawcy lub, w przypadku kilku udanych rozwiązań, tym wykonawcom. Zamówienia mogą być udzielane przez okres do pięciu lat od publikacji pozytywnej decyzji zgodnie z art. 44 ust. 8.</w:t>
      </w:r>
    </w:p>
    <w:p>
      <w:pPr>
        <w:pStyle w:val="Heading2"/>
        <w:jc w:val="center"/>
      </w:pPr>
      <w:r>
        <w:t>Rozdział 5</w:t>
      </w:r>
    </w:p>
    <w:p>
      <w:pPr>
        <w:pStyle w:val="Heading2"/>
        <w:jc w:val="center"/>
      </w:pPr>
      <w:r>
        <w:t>Specjalne procedury i narzędzia</w:t>
      </w:r>
    </w:p>
    <w:p>
      <w:pPr>
        <w:pStyle w:val="Heading3"/>
        <w:jc w:val="center"/>
      </w:pPr>
      <w:r>
        <w:t>Artykuł 46</w:t>
      </w:r>
    </w:p>
    <w:p>
      <w:pPr>
        <w:pStyle w:val="Heading4"/>
        <w:jc w:val="center"/>
      </w:pPr>
      <w:r>
        <w:t>Zamówienia wymagające jedynie publikacji publicznego podsumowania wyników</w:t>
      </w:r>
    </w:p>
    <w:p>
      <w:r>
        <w:t>1. W szczególnych przypadkach i okolicznościach określonych w art. 47 i 48 nabywcy publiczni mogą skorzystać ze specjalnej procedury w celu udzielenia zamówienia publicznego, zwracając się o rozwiązanie bezpośrednio do co najmniej jednego wykonawcy bez konieczności przeprowadzania procedury konkurencyjnej lub uprzedniej publikacji informacji na temat oferty. Wniosek ten może mieć formę zaproszenia do negocjacji, wniosku o złożenie oferty lub wniosku o dostarczenie rozwiązania na podstawie faktury. Nabywcy publiczni publikują publiczne podsumowanie wyników zgodnie z art. 110.</w:t>
      </w:r>
    </w:p>
    <w:p>
      <w:r>
        <w:t>2. Udzielanie tych zamówień odbywa się zgodnie z zasadami niedyskryminacji, równego traktowania i przejrzystości, z należytym uwzględnieniem szczególnych potrzeb i sytuacji nabywców publicznych w konkretnych przypadkach i okolicznościach opisanych w art. 47 i 48.</w:t>
      </w:r>
    </w:p>
    <w:p>
      <w:pPr>
        <w:pStyle w:val="Heading3"/>
        <w:jc w:val="center"/>
      </w:pPr>
      <w:r>
        <w:t>Artykuł 47</w:t>
      </w:r>
    </w:p>
    <w:p>
      <w:pPr>
        <w:pStyle w:val="Heading4"/>
        <w:jc w:val="center"/>
      </w:pPr>
      <w:r>
        <w:t>Warunki korzystania z zamówień z publikacją wyłącznie publicznego podsumowania wyników</w:t>
      </w:r>
    </w:p>
    <w:p>
      <w:r>
        <w:t>Nabywcy publiczni mogą stosować procedurę opisaną w art. 46 w każdej z następujących sytuacji, zgodnie z międzynarodowymi zobowiązaniami Unii:</w:t>
      </w:r>
    </w:p>
    <w:p>
      <w:r>
        <w:t>a) potrzebne rozwiązanie może zostać dostarczone wyłącznie przez konkretny wykonawca i nie istnieje rozsądne rozwiązanie alternatywne lub zastępcze z któregokolwiek z następujących powodów:</w:t>
      </w:r>
    </w:p>
    <w:p>
      <w:r>
        <w:t>i) celem zamówienia jest stworzenie lub nabycie unikalnego dzieła sztuki lub występu artystycznego;</w:t>
      </w:r>
    </w:p>
    <w:p>
      <w:r>
        <w:t>ii) brak jest konkurencji z przyczyn technicznych, których nie można przypisać opracowaniu wcześniejszego postępowania o udzielenie zamówienia lub sztucznemu zawężeniu parametrów zamówienia;</w:t>
      </w:r>
    </w:p>
    <w:p>
      <w:r>
        <w:t>ochrona praw wyłącznych, w tym praw własności intelektualnej;</w:t>
      </w:r>
    </w:p>
    <w:p>
      <w:r>
        <w:t>iv) jeżeli otwarcie zamówienia na konkurencję mogłoby negatywnie wpłynąć na podstawowe interesy bezpieczeństwa narodowego Unii lub państwa członkowskiego nabywcy publicznego i nie ma możliwości zastosowania mniej inwazyjnych środków.</w:t>
      </w:r>
    </w:p>
    <w:p>
      <w:r>
        <w:t>w przypadku zamówień publicznych na dostawy, które dotyczą:</w:t>
      </w:r>
    </w:p>
    <w:p>
      <w:r>
        <w:t>dodatkowych dostaw realizowanych przez pierwotnego dostawcę w okresie nie dłuższym niż dwa lata, które mają na celu częściową wymianę dostaw lub instalacji albo rozszerzenie istniejących dostaw lub instalacji, w przypadku gdy zmiana dostawcy wiązałaby się z nieproporcjonalnymi kosztami lub trudnościami technicznymi dla nabywcy publicznego;</w:t>
      </w:r>
    </w:p>
    <w:p>
      <w:r>
        <w:t>ii) w przypadku dostaw notowanych i nabywanych na rynku towarowym;</w:t>
      </w:r>
    </w:p>
    <w:p>
      <w:r>
        <w:t>iii) na zakup dostaw lub usług na szczególnie korzystnych warunkach pojawiających się jedynie w bardzo krótkim czasie w przypadku nadzwyczajnego zbycia, takiego jak wynikające z postępowania likwidacyjnego lub upadłościowego.</w:t>
      </w:r>
    </w:p>
    <w:p>
      <w:r>
        <w:t>c) w przypadku zamówień publicznych na usługi, które dotyczą:</w:t>
      </w:r>
    </w:p>
    <w:p>
      <w:r>
        <w:t>i) administracyjne zamówienia na usługi społeczne, edukacyjne, zdrowotne i kulturalne w ramach kodów Wspólnego Słownika Zamówień (CPV) 79950000-8 [Usługi organizacji wystaw, targów i kongresów], 79951000-5 [Usługi organizacji seminariów], 79952000-2 [Usługi organizacji wydarzeń], 79952100-3 [Usługi organizacji wydarzeń kulturalnych], 79953000-9 [Usługi organizacji festiwali], 79954000-6 [Usługi organizacji partyjnych], 79955000-3 [Usługi organizacji pokazów mody], 79956000-0 [Usługi organizacji targów i wystaw], 92100000-2 [Usługi w zakresie zdjęć i filmów], 92200000-3 [Usługi radiowe i telewizyjne], 92400000-5 [Usługi agencji informacyjnych];</w:t>
      </w:r>
    </w:p>
    <w:p>
      <w:r>
        <w:t>ii) Usługi hotelarskie i restauracyjne w ramach CPV od 55100000-1 do 55410000-7; 55521000-8 do 55521200-0 [55521000-8 Usługi dostarczania posiłków do prywatnych gospodarstw domowych, 55521100-9 Usługi dostarczania posiłków na koła, 55521200-0 Usługi dostarczania posiłków] 55520000-1 Usługi dostarczania posiłków, 55522000-5 Usługi dostarczania posiłków do przedsiębiorstw transportowych, 55523000-2 Usługi dostarczania posiłków do innych przedsiębiorstw lub instytucji, 55524000-9 Usługi dostarczania posiłków do szkół 55510000-8 Usługi stołówek, 55511000-5 Usługi stołówek i inne ograniczone usługi kawiarniane dla klientów, 55512000-2 Usługi zarządzania stołówkami, 55523100-3 Usługi dostarczania posiłków do szkół.</w:t>
      </w:r>
    </w:p>
    <w:p>
      <w:pPr>
        <w:pStyle w:val="Heading3"/>
        <w:jc w:val="center"/>
      </w:pPr>
      <w:r>
        <w:t>Artykuł 48</w:t>
      </w:r>
    </w:p>
    <w:p>
      <w:pPr>
        <w:pStyle w:val="Heading4"/>
        <w:jc w:val="center"/>
      </w:pPr>
      <w:r>
        <w:t>Sytuacja wyjątkowa i kryzys</w:t>
      </w:r>
    </w:p>
    <w:p>
      <w:r>
        <w:t>1. Nabywcy publiczni mogą skorzystać z procedury opisanej w art. 46, jeżeli z powodu wyjątkowo pilnej konieczności, której nie można przypisać nabywcy publicznemu, terminy procedur określone w niniejszym rozporządzeniu nie mogą być dotrzymane.</w:t>
      </w:r>
    </w:p>
    <w:p>
      <w:r>
        <w:t>2. Bez uszczerbku dla wszelkich działań w zakresie wspólnego udzielania zamówień organizowanych przez instytucje, organy i jednostki organizacyjne Unii, w przypadku gdy uruchomiono tryb sytuacji nadzwyczajnej zgodnie z rozporządzeniem (UE) 2024/2747[45], uruchomiono ramy na wypadek stanów zagrożenia zgodnie z rozporządzeniem Rady (UE) 2022/2372[46], istnieją poważne transgraniczne zagrożenia zdrowia zgodnie z rozporządzeniem (UE) 2022/2371[47] lub Komisja ogłosiła kryzys lub stan nadzwyczajny, warunek określony w ust. 1 uznaje się za spełniony w odniesieniu do danego rodzaju rozwiązań i tak długo, jak istnieje stan nadzwyczajny lub poważne zagrożenie transgraniczne.</w:t>
      </w:r>
    </w:p>
    <w:p>
      <w:r>
        <w:rPr>
          <w:sz w:val="16"/>
        </w:rPr>
        <w:t>45 Rozporządzenie Parlamentu Europejskiego i Rady (UE) 2024/2747 z dnia 9 października 2024 r. w sprawie ustanowienia ram środków dotyczących sytuacji nadzwyczajnej na rynku wewnętrznym i odporności rynku wewnętrznego oraz w sprawie zmiany rozporządzenia Rady (WE) nr 2679/98 (akt o sytuacji nadzwyczajnej na rynku wewnętrznym i odporności rynku wewnętrznego) (Dz.U. L, 2024/2747, 8.11.2024, ELI: http://data.europa.eu/eli/reg/2024/2747/oj).</w:t>
      </w:r>
    </w:p>
    <w:p>
      <w:r>
        <w:rPr>
          <w:sz w:val="16"/>
        </w:rPr>
        <w:t>46 Rozporządzenie Rady (UE) 2022/2372 z dnia 24 października 2022 r. w sprawie ram środków służących zapewnieniu zaopatrzenia w medyczne środki przeciwdziałania istotne podczas kryzysu w przypadku stanu zagrożenia zdrowia publicznego na poziomie Unii (Dz.U. L 314 z 6.12.2022, s. 64, ELI: http://data.europa.eu/eli/reg/2022/2372/oj).</w:t>
      </w:r>
    </w:p>
    <w:p>
      <w:r>
        <w:rPr>
          <w:sz w:val="16"/>
        </w:rPr>
        <w:t>47 Rozporządzenie Parlamentu Europejskiego i Rady (UE) 2022/2371 z dnia 23 listopada 2022 r. w sprawie poważnych transgranicznych zagrożeń zdrowia oraz uchylenia decyzji nr 1082/2013/UE (Dz.U. L 314 z 6.12.2022, s. 26, ELI: http://data.europa.eu/eli/reg/2022/2371/oj).</w:t>
      </w:r>
    </w:p>
    <w:p>
      <w:pPr>
        <w:pStyle w:val="Heading3"/>
        <w:jc w:val="center"/>
      </w:pPr>
      <w:r>
        <w:t>Artykuł 49</w:t>
      </w:r>
    </w:p>
    <w:p>
      <w:pPr>
        <w:pStyle w:val="Heading4"/>
        <w:jc w:val="center"/>
      </w:pPr>
      <w:r>
        <w:t>Wykaz kwalifikacji podmiotów zamawiających</w:t>
      </w:r>
    </w:p>
    <w:p>
      <w:r>
        <w:t>1. Podmioty zamawiające mogą sporządzić i prowadzić wykaz kwalifikacji. Mogą one udzielać indywidualnych zamówień na tej podstawie.</w:t>
      </w:r>
    </w:p>
    <w:p>
      <w:r>
        <w:t>2. Podmioty zamawiające publikują publiczne podsumowanie dotyczące konkurencji zgodnie z art. 110 w odniesieniu do istnienia wykazu kwalifikowania. Państwa członkowskie zapewniają, aby wykonawcy mogli w każdej chwili ubiegać się o dopuszczenie do wykazu w okresie jego obowiązywania wskazanym w publicznym podsumowaniu warunków konkurencji.</w:t>
      </w:r>
    </w:p>
    <w:p>
      <w:r>
        <w:t>3. Podmioty zamawiające ustanawiają obiektywne zasady i kryteria dopuszczenia wykonawców do listy kwalifikacji oraz obiektywne kryteria i zasady zarządzania listą kwalifikacji, obejmujące takie kwestie jak dopuszczenie, ewentualne okresowe aktualizowanie kwalifikacji oraz czas trwania. Mogą one podzielić listę kwalifikacji na różne kategorie w zależności od przedmiotu poszczególnych zamówień na podstawie listy kwalifikacji.</w:t>
      </w:r>
    </w:p>
    <w:p>
      <w:r>
        <w:t>4. Zasady i kryteria wpisania na listę kwalifikacyjną obejmują kryteria wykluczenia zgodnie z art. 25 i mogą odnosić się do kryteriów wykluczenia zgodnie z art. 26, kryteriów kwalifikacji zgodnie z art. 27 i specyfikacji zgodnie z art. 88. Podmioty zamawiające stosują przepisy dotyczące środków dowodowych zawarte odpowiednio w art. 28, 91 i 92. Podmioty zamawiające zapewniają, aby przepisy tytułu II niniejszej części były stosowane odpowiednio do dopuszczenia do wykazu i do udzielania poszczególnych zamówień.</w:t>
      </w:r>
    </w:p>
    <w:p>
      <w:r>
        <w:t>5. Podmioty zamawiające udzielające zamówień na podstawie listy kwalifikacyjnej zapraszają wykonawców dopuszczonych do listy kwalifikacyjnej lub do jej odpowiednich kategorii do złożenia oferty. Podmioty zamawiające mogą prowadzić negocjacje zgodnie z art. 33, po których następuje udzielenie zamówienia zgodnie z art. 98, lub udzielić zamówienia bez negocjacji zgodnie z art. 98. Publikują one publiczne podsumowanie wyników zgodnie z art. 110 w odniesieniu do każdego udzielonego zamówienia.</w:t>
      </w:r>
    </w:p>
    <w:p>
      <w:r>
        <w:t>6. Proces dopuszczenia do listy kwalifikacyjnej oraz udzielania indywidualnych zamówień w oparciu o system może odbywać się w kilku kolejnych etapach.</w:t>
      </w:r>
    </w:p>
    <w:p>
      <w:r>
        <w:t>7. Wszelkie opłaty pobierane w związku z kwalifikacją, aktualizacją lub zachowaniem już uzyskanej kwalifikacji są proporcjonalne do wygenerowanych kosztów.</w:t>
      </w:r>
    </w:p>
    <w:p>
      <w:pPr>
        <w:pStyle w:val="Heading2"/>
        <w:jc w:val="center"/>
      </w:pPr>
      <w:r>
        <w:t>Tytuł II</w:t>
      </w:r>
    </w:p>
    <w:p>
      <w:pPr>
        <w:pStyle w:val="Heading2"/>
        <w:jc w:val="center"/>
      </w:pPr>
      <w:r>
        <w:t>Planowanie strategiczne i realizacja zamówień publicznych</w:t>
      </w:r>
    </w:p>
    <w:p>
      <w:pPr>
        <w:pStyle w:val="Heading2"/>
        <w:jc w:val="center"/>
      </w:pPr>
      <w:r>
        <w:t>Rozdział 1</w:t>
      </w:r>
    </w:p>
    <w:p>
      <w:pPr>
        <w:pStyle w:val="Heading2"/>
        <w:jc w:val="center"/>
      </w:pPr>
      <w:r>
        <w:t>Zielone zamówienia publiczne</w:t>
      </w:r>
    </w:p>
    <w:p>
      <w:pPr>
        <w:pStyle w:val="Heading3"/>
        <w:jc w:val="center"/>
      </w:pPr>
      <w:r>
        <w:t>Artykuł 50</w:t>
      </w:r>
    </w:p>
    <w:p>
      <w:pPr>
        <w:pStyle w:val="Heading4"/>
        <w:jc w:val="center"/>
      </w:pPr>
      <w:r>
        <w:t>Zielone zamówienia publiczne</w:t>
      </w:r>
    </w:p>
    <w:p>
      <w:r>
        <w:t>1. Przy zamawianiu produktów, usług i robót budowlanych nabywcy publiczni mogą brać pod uwagę względy środowiskowe i klimatyczne w celu zapobiegania niekorzystnym skutkom środowiskowym i klimatycznym, ich ograniczania lub łagodzenia w inny sposób lub dążenia do osiągnięcia pozytywnych skutków środowiskowych i klimatycznych w całym cyklu życia w porównaniu z alternatywnymi produktami, usługami i robotami budowlanymi o tej samej podstawowej funkcji („zielone zamówienia publiczne”).</w:t>
      </w:r>
    </w:p>
    <w:p>
      <w:r>
        <w:t>2. Względy środowiskowe, o których mowa w ust. 1, wspierają osiągnięcie celów związanych ze środowiskiem i klimatem, o których mowa w art. 5, w tym:</w:t>
      </w:r>
    </w:p>
    <w:p>
      <w:r>
        <w:t>a) łagodzenie zmiany klimatu, w tym redukcja emisji;</w:t>
      </w:r>
    </w:p>
    <w:p>
      <w:r>
        <w:t>odporność na zmianę klimatu i przystosowanie się do niej;</w:t>
      </w:r>
    </w:p>
    <w:p>
      <w:r>
        <w:t>zrównoważone wykorzystanie i ochrona zasobów wodnych i morskich;</w:t>
      </w:r>
    </w:p>
    <w:p>
      <w:r>
        <w:t>d) przejście na gospodarkę o obiegu zamkniętym, w tym poprzez biogospodarkę;</w:t>
      </w:r>
    </w:p>
    <w:p>
      <w:r>
        <w:t>e) zapobieganie zanieczyszczeniom i ich kontrola;</w:t>
      </w:r>
    </w:p>
    <w:p>
      <w:r>
        <w:t>ochrona i odbudowa bioróżnorodności i ekosystemów.</w:t>
      </w:r>
    </w:p>
    <w:p>
      <w:r>
        <w:t>3. Nabywcy publiczni mogą w stosownych przypadkach uwzględniać takie kwestie związane ze środowiskiem i klimatem w specyfikacjach, kryteriach udzielenia zamówienia, klauzulach dotyczących realizacji zamówienia lub kryteriach kwalifikacji, zgodnie z zasadami określonymi w art. 4 oraz jeżeli są one związane z przedmiotem zamówienia zgodnie z art. 90.</w:t>
      </w:r>
    </w:p>
    <w:p>
      <w:r>
        <w:t>4. Samo przestrzeganie ogólnych minimalnych obowiązków w zakresie ochrony środowiska ustanowionych w prawie Unii, prawie krajowym lub konwencjach międzynarodowych wymienionych w załączniku II nie jest samo w sobie uznawane za „zielone zamówienia publiczne” do celów niniejszego rozporządzenia.</w:t>
      </w:r>
    </w:p>
    <w:p>
      <w:r>
        <w:t>Za „zielone zamówienia publiczne” w rozumieniu ust. 1 uznaje się natomiast zamówienia publiczne uwzględniające szczególne kryteria lub wymogi środowiskowe dotyczące zamówień publicznych określone w niniejszym rozporządzeniu lub w innych odpowiednich przepisach Unii.</w:t>
      </w:r>
    </w:p>
    <w:p>
      <w:pPr>
        <w:pStyle w:val="Heading3"/>
        <w:jc w:val="center"/>
      </w:pPr>
      <w:r>
        <w:t>Artykuł 51</w:t>
      </w:r>
    </w:p>
    <w:p>
      <w:pPr>
        <w:pStyle w:val="Heading4"/>
        <w:jc w:val="center"/>
      </w:pPr>
      <w:r>
        <w:t>Gospodarka o obiegu zamkniętym i efektywne gospodarowanie zasobami</w:t>
      </w:r>
    </w:p>
    <w:p>
      <w:r>
        <w:t>Nabywcy publiczni mogą ustanowić specyfikacje, kryteria kwalifikacji, kryteria udzielenia zamówienia lub warunki realizacji zamówień, które zgodnie z celem, jakim jest wysoki poziom ochrony środowiska, promują obieg zamknięty i zasobooszczędność w całym cyklu życia robót budowlanych, produktów i usług. Takie wymogi lub kryteria mogą, w stosownych przypadkach, odnosić się do trwałości, możliwości naprawy, możliwości modernizacji, ponownego użycia, odnowienia, regeneracji materiałów z recyklingu, wykorzystania surowców wtórnych, zapobiegania powstawaniu odpadów, przygotowania do ponownego użycia lub zakupu produktów odnowionych, poddanych regeneracji lub wcześniej używanych. Nabywcy publiczni mogą również rozważyć modele biznesowe o obiegu zamkniętym, w tym rozwiązania typu produkt jako usługa, leasing, współdzielenie lub wynajem, a nie zakup nowych produktów.</w:t>
      </w:r>
    </w:p>
    <w:p>
      <w:pPr>
        <w:pStyle w:val="Heading3"/>
        <w:jc w:val="center"/>
      </w:pPr>
      <w:r>
        <w:t>Artykuł 52</w:t>
      </w:r>
    </w:p>
    <w:p>
      <w:pPr>
        <w:pStyle w:val="Heading4"/>
        <w:jc w:val="center"/>
      </w:pPr>
      <w:r>
        <w:t>Efektywność energetyczna</w:t>
      </w:r>
    </w:p>
    <w:p>
      <w:r>
        <w:t>1. Kupując towary, usługi lub roboty budowlane, nabywcy publiczni nabywają wyłącznie produkty, usługi i roboty budowlane o wysokiej charakterystyce energetycznej, chyba że nie jest to technicznie wykonalne. W tym celu państwa członkowskie:</w:t>
      </w:r>
    </w:p>
    <w:p>
      <w:r>
        <w:t>a) w przypadku gdy produkt jest objęty aktem delegowanym przyjętym na podstawie rozporządzenia (UE) 2017/1369[48], dyrektywy 2010/30/UE[49] lub powiązanym aktem wykonawczym Komisji, nabywają wyłącznie produkty, które spełniają kryterium określone w art. 7 ust. 2 rozporządzenia (UE) 2017/1369;</w:t>
      </w:r>
    </w:p>
    <w:p>
      <w:r>
        <w:t>b) w przypadku gdy produkt nieobjęty lit. a) jest objęty środkiem wykonawczym na podstawie dyrektywy 2009/125/WE[50], nabywają wyłącznie produkty zgodne ze wskaźnikami efektywności energetycznej określonymi w środku wykonawczym na podstawie dyrektywy 2009/125/WE;</w:t>
      </w:r>
    </w:p>
    <w:p>
      <w:r>
        <w:t>c) wymagają w swoich przetargach na zamówienia na usługi, aby usługodawcy wykorzystywali do celów świadczenia danych usług wyłącznie produkty zgodne z lit. a) i b) przy świadczeniu danych usług. Powyższy wymóg ma zastosowanie wyłącznie do nowych produktów nabywanych przez dostawców usług częściowo lub w całości na potrzeby świadczenia danej usługi;</w:t>
      </w:r>
    </w:p>
    <w:p>
      <w:r>
        <w:t>d) w przypadku zakupu budynków lub zawierania nowych umów najmu budynków zapewniają, aby takie budynki, o ile są dostępne, spełniały co najmniej techniczne kryteria kwalifikacji dotyczące istotnego wkładu w łagodzenie zmian klimatu, określone w rozporządzeniu delegowanym Komisji (UE) 2021/2139[51], załącznik I sekcja 7.7 („Nabywanie i własność budynków”), chyba że celem zakupu jest:</w:t>
      </w:r>
    </w:p>
    <w:p>
      <w:r>
        <w:t>przeprowadzenie gruntownej renowacji lub rozbiórki;</w:t>
      </w:r>
    </w:p>
    <w:p>
      <w:r>
        <w:t>zachowanie go jako budynku urzędowo chronionego jako część wyznaczonego środowiska lub ze względu na jego szczególne walory architektoniczne lub historyczne.</w:t>
      </w:r>
    </w:p>
    <w:p>
      <w:r>
        <w:t>Art. 85 ust. 1 lit. d) nie ma zastosowania do obowiązków określonych w akapicie pierwszym lit. d).</w:t>
      </w:r>
    </w:p>
    <w:p>
      <w:r>
        <w:t>2. Jeżeli zakup dotyczy pakietu produktów w pełni objętego aktem delegowanym przyjętym na podstawie rozporządzenia (UE) 2017/1369, nabywcy publiczni mogą wymagać, aby łączna efektywność energetyczna pakietu produktów miała pierwszeństwo przed efektywnością energetyczną poszczególnych produktów w ramach tego pakietu poprzez zakup pakietu produktów, który spełnia kryterium przynależności do najwyższej dostępnej klasy efektywności energetycznej.</w:t>
      </w:r>
    </w:p>
    <w:p>
      <w:r>
        <w:rPr>
          <w:sz w:val="16"/>
        </w:rPr>
        <w:t>48 Rozporządzenie Parlamentu Europejskiego i Rady (UE) 2017/1369 z dnia 4 lipca 2017 r. ustanawiające ramy etykietowania energetycznego i uchylające dyrektywę 2010/30/UE (Dz.U. L 198 z 28.7.2017, s. 1, ELI: http://data.europa.eu/eli/reg/2017/1369/oj).</w:t>
      </w:r>
    </w:p>
    <w:p>
      <w:r>
        <w:rPr>
          <w:sz w:val="16"/>
        </w:rPr>
        <w:t>49 Dyrektywa Parlamentu Europejskiego i Rady 2010/30/UE z dnia 19 maja 2010 r. w sprawie wskazania poprzez etykietowanie oraz standardowe informacje o produkcie, zużycia energii oraz innych zasobów przez produkty związane z energią (wersja przekształcona) (Dz.U. L 153 z 18.6.2010, s. 1, ELI: http://data.europa.eu/eli/dir/2010/30/oj).</w:t>
      </w:r>
    </w:p>
    <w:p>
      <w:r>
        <w:rPr>
          <w:sz w:val="16"/>
        </w:rPr>
        <w:t>50 Dyrektywa Parlamentu Europejskiego i Rady 2009/125/WE z dnia 21 października 2009 r. ustanawiająca ogólne zasady ustalania wymogów dotyczących ekoprojektu dla produktów związanych z energią (wersja przekształcona) (Dz.U. L 285 z 31.10.2009, s. 10, ELI: http://data.europa.eu/eli/dir/2009/125/oj).</w:t>
      </w:r>
    </w:p>
    <w:p>
      <w:r>
        <w:rPr>
          <w:sz w:val="16"/>
        </w:rPr>
        <w:t>51 Rozporządzenie delegowane Komisji (UE) 2021/2139 z dnia 4 czerwca 2021 r. uzupełniające rozporządzenie Parlamentu Europejskiego i Rady (UE) 2020/852 poprzez ustanowienie technicznych kryteriów kwalifikacji służących określeniu warunków, na jakich dana działalność gospodarcza kwalifikuje się jako wnosząca istotny wkład w łagodzenie zmian klimatu lub w adaptację do zmian klimatu, a także określeniu, czy ta działalność gospodarcza nie wyrządza poważnych szkód względem żadnego z pozostałych celów środowiskowych (Dz.U. L 442 z 9.12.2021, s. 1, ELI: http://data.europa.eu/eli/reg_del/2021/2139/oj).</w:t>
      </w:r>
    </w:p>
    <w:p>
      <w:pPr>
        <w:pStyle w:val="Heading3"/>
        <w:jc w:val="center"/>
      </w:pPr>
      <w:r>
        <w:t>Artykuł 53</w:t>
      </w:r>
    </w:p>
    <w:p>
      <w:pPr>
        <w:pStyle w:val="Heading4"/>
        <w:jc w:val="center"/>
      </w:pPr>
      <w:r>
        <w:t>Zamówienia żywności</w:t>
      </w:r>
    </w:p>
    <w:p>
      <w:r>
        <w:t>1. Na potrzeby realizacji celów określonych w art. 50 ust. 2 i art. 55 ust. 2 nabywcy publiczni mogą również uwzględniać kwestie związane z jakością i zrównoważonym charakterem żywności przy zamawianiu żywności, w stosownych przypadkach, w specyfikacjach, kryteriach udzielenia zamówienia lub warunkach realizacji zamówień, w zakresie, w jakim są one związane z przedmiotem zamówienia.</w:t>
      </w:r>
    </w:p>
    <w:p>
      <w:r>
        <w:t>2. Kwestie związane z żywnością, o których mowa w ust. 1, mogą dotyczyć w szczególności:</w:t>
      </w:r>
    </w:p>
    <w:p>
      <w:r>
        <w:t>a) uczciwość i przejrzystość wymogów i warunków dotyczących łańcuchów dostaw żywności, w szczególności sprawiedliwe wynagrodzenie rolników zaangażowanych w produkcję zamawianej żywności;</w:t>
      </w:r>
    </w:p>
    <w:p>
      <w:r>
        <w:t>b) organizacji łańcucha dostaw żywności;</w:t>
      </w:r>
    </w:p>
    <w:p>
      <w:r>
        <w:t>wymogi lub warunki dotyczące metod produkcji ekologicznej, systemów jakości, takich jak oznaczenia geograficzne, oraz innych metod produkcji;</w:t>
      </w:r>
    </w:p>
    <w:p>
      <w:r>
        <w:t>wartość odżywcza i skutki zdrowotne, świeżość i sezonowość kryteriów żywieniowych;</w:t>
      </w:r>
    </w:p>
    <w:p>
      <w:r>
        <w:t>e) wymogów w zakresie dobrostanu zwierząt.</w:t>
      </w:r>
    </w:p>
    <w:p>
      <w:pPr>
        <w:pStyle w:val="Heading3"/>
        <w:jc w:val="center"/>
      </w:pPr>
      <w:r>
        <w:t>Artykuł 54</w:t>
      </w:r>
    </w:p>
    <w:p>
      <w:pPr>
        <w:pStyle w:val="Heading4"/>
        <w:jc w:val="center"/>
      </w:pPr>
      <w:r>
        <w:t>Wymogi dotyczące zielonych zamówień publicznych na niektóre produkty</w:t>
      </w:r>
    </w:p>
    <w:p>
      <w:r>
        <w:t>1. Kupując produkty, rodziny produktów lub technologie podlegające aktom prawnym Unii wymienionym w załączniku VII, nabywcy publiczni wymagają w specyfikacjach, kryteriach udzielenia zamówienia lub warunkach realizacji zamówień takich aspektów środowiskowych, jakie uznają za odpowiednie dla danego zamówienia, w świetle celu, jakim jest zapewnienie wysokiego poziomu ochrony środowiska w Unii, potrzeby szybkiego przejścia na gospodarkę neutralną dla klimatu oraz zasad równego traktowania, niedyskryminacji i proporcjonalności. Te aspekty środowiskowe wyraża się za pomocą klas lub poziomów efektywności, progów, aspektów środowiskowych lub wymogów zrównoważenia środowiskowego określonych w odpowiednich aktach prawnych wymienionych w załączniku VII.</w:t>
      </w:r>
    </w:p>
    <w:p>
      <w:r>
        <w:t>2. W przypadku gdy rozbieżne wymogi dotyczące aspektów środowiskowych stwarzają realne ryzyko fragmentacji rynku wewnętrznego lub w przypadku konieczności zwiększenia popytu na produkty, o których mowa w aktach prawnych Unii wymienionych w załączniku VII, Komisja jest uprawniona do przyjmowania aktów delegowanych zgodnie z art. 141 w celu uzupełnienia niniejszego rozporządzenia poprzez określenie aspektów środowiskowych, o których mowa w ust. 1, których wymagają nabywcy publiczni w specyfikacjach, kryteriach udzielenia zamówienia lub warunkach realizacji zamówień w odniesieniu do produktów, rodzin produktów lub technologii podlegających aktom prawnym Unii wymienionym w załączniku VII.</w:t>
      </w:r>
    </w:p>
    <w:p>
      <w:r>
        <w:t>Przyjmując akty delegowane na podstawie akapitu pierwszego, Komisja ustala wymogi na wysokim poziomie, uwzględniając:</w:t>
      </w:r>
    </w:p>
    <w:p>
      <w:r>
        <w:t>a) wartość i wielkość zamówień publicznych udzielonych na dane produkty, rodziny produktów lub technologie, lub na usługi lub roboty budowlane, w których wykorzystuje się te produkty, rodziny produktów lub technologie do działalności stanowiącej przedmiot zamówienia;</w:t>
      </w:r>
    </w:p>
    <w:p>
      <w:r>
        <w:t>potrzebę zapewnienia wystarczającego popytu na bardziej zrównoważone środowiskowo i niskoemisyjne produkty lub technologie;</w:t>
      </w:r>
    </w:p>
    <w:p>
      <w:r>
        <w:t>c) ekonomiczną wykonalność zakupu przez nabywców publicznych bardziej zrównoważonych środowiskowo produktów lub technologii bez ponoszenia nieproporcjonalnych kosztów oraz dostępność takich produktów lub technologii na rynku;</w:t>
      </w:r>
    </w:p>
    <w:p>
      <w:r>
        <w:t>wpływ wymogów na konkurencję.</w:t>
      </w:r>
    </w:p>
    <w:p>
      <w:r>
        <w:t>3. Nabywcy publiczni mogą podjąć decyzję o niewymaganiu cech określonych w aktach delegowanych przyjętych na podstawie ust. 2, jeżeli:</w:t>
      </w:r>
    </w:p>
    <w:p>
      <w:r>
        <w:t>a) produkt lub technologia mogą być dostarczane wyłącznie przez konkretnego wykonawcę i nie istnieje rozsądne rozwiązanie alternatywne lub zastępcze, a brak konkurencji nie jest wynikiem sztucznego zawężenia parametrów postępowania o udzielenie zamówienia publicznego; lub</w:t>
      </w:r>
    </w:p>
    <w:p>
      <w:r>
        <w:t>b) stosowanie aktu delegowanego zobowiązywałoby nabywcę publicznego do nabycia sprzętu, który wiąże się z nieproporcjonalnymi kosztami, lub skutkowałoby techniczną niekompatybilnością w użytkowaniu i utrzymaniu.</w:t>
      </w:r>
    </w:p>
    <w:p>
      <w:r>
        <w:t>4. W przypadku przyjęcia nowych aktów prawnych Unii określających wymogi w zakresie zrównoważenia środowiskowego i wymogi związane z klimatem dotyczące wprowadzania produktów lub technologii do obrotu w Unii Komisja jest uprawniona do przyjmowania aktów delegowanych zgodnie z art. 141 w celu zmiany załącznika VII poprzez aktualizację wykazu aktów prawnych Unii, o którym mowa w tym załączniku.</w:t>
      </w:r>
    </w:p>
    <w:p>
      <w:pPr>
        <w:pStyle w:val="Heading2"/>
        <w:jc w:val="center"/>
      </w:pPr>
      <w:r>
        <w:t>Rozdział 2</w:t>
      </w:r>
    </w:p>
    <w:p>
      <w:pPr>
        <w:pStyle w:val="Heading2"/>
        <w:jc w:val="center"/>
      </w:pPr>
      <w:r>
        <w:t>Społecznie odpowiedzialne zamówienia publiczne</w:t>
      </w:r>
    </w:p>
    <w:p>
      <w:pPr>
        <w:pStyle w:val="Heading3"/>
        <w:jc w:val="center"/>
      </w:pPr>
      <w:r>
        <w:t>Artykuł 55</w:t>
      </w:r>
    </w:p>
    <w:p>
      <w:pPr>
        <w:pStyle w:val="Heading4"/>
        <w:jc w:val="center"/>
      </w:pPr>
      <w:r>
        <w:t>Społecznie odpowiedzialne zamówienia publiczne</w:t>
      </w:r>
    </w:p>
    <w:p>
      <w:r>
        <w:t>1. Nabywcy publiczni mogą brać pod uwagę względy społeczne przy zamawianiu dostaw, usług i robót budowlanych w celu osiągnięcia pozytywnych skutków społecznych lub zapobiegania niekorzystnym skutkom społecznym lub ich łagodzenia w całym cyklu życia dostaw, usług i robót budowlanych („społecznie odpowiedzialne zamówienia publiczne”).</w:t>
      </w:r>
    </w:p>
    <w:p>
      <w:r>
        <w:t>2. Względy społeczne, o których mowa w ust. 1, służą realizacji celów społecznych Unii, w szczególności tych, o których mowa w art. 5, które mogą obejmować:</w:t>
      </w:r>
    </w:p>
    <w:p>
      <w:r>
        <w:t>włączenie społeczne i integrację na rynku pracy osób niepełnosprawnych i osób defaworyzowanych uczestniczących w realizacji danego zamówienia publicznego;</w:t>
      </w:r>
    </w:p>
    <w:p>
      <w:r>
        <w:t>wysokiej jakości miejsca pracy, w tym poprzez uznanie roli rokowań zbiorowych, z uwzględnieniem różnorodności systemów krajowych i z poszanowaniem autonomii partnerów społecznych, oraz poprawę warunków pracy pracowników wykonujących dane zamówienie publiczne, a w szczególności pracowników należących do słabszych kategorii;</w:t>
      </w:r>
    </w:p>
    <w:p>
      <w:r>
        <w:t>c) dostępności dla osób z niepełnosprawnościami i projektowania dla wszystkich podejść, wykraczających poza wymogi prawne określone w art. 56 niniejszego rozporządzenia;</w:t>
      </w:r>
    </w:p>
    <w:p>
      <w:r>
        <w:t>d) szkolenia, podnoszenia i zmiany kwalifikacji pracowników realizujących dane zamówienie publiczne;</w:t>
      </w:r>
    </w:p>
    <w:p>
      <w:r>
        <w:t>środki na rzecz równouprawnienia płci i niedyskryminacji pracowników realizujących dane zamówienie publiczne;</w:t>
      </w:r>
    </w:p>
    <w:p>
      <w:r>
        <w:t>promowanie gospodarki społecznej oraz, w stosownych przypadkach, mieszkań socjalnych i przystępnych cenowo;</w:t>
      </w:r>
    </w:p>
    <w:p>
      <w:r>
        <w:t>g) skuteczną ochronę praw człowieka w łańcuchach dostaw istotnych dla danego zamówienia.</w:t>
      </w:r>
    </w:p>
    <w:p>
      <w:r>
        <w:t>3. Nabywcy publiczni mogą w stosownych przypadkach uwzględniać takie względy społeczne za pomocą kryteriów lub wymogów zawartych w specyfikacjach, kryteriów udzielenia zamówienia, warunków realizacji zamówień lub, jeżeli ma to znaczenie dla przedmiotu zamówienia, kryteriów kwalifikacji, pod warunkiem że są one związane z przedmiotem zamówienia zgodnie z art. 90 oraz są zgodne z zasadami przejrzystości, niedyskryminacji i proporcjonalności.</w:t>
      </w:r>
    </w:p>
    <w:p>
      <w:r>
        <w:t>4. Samo przestrzeganie mających zastosowanie obowiązków wynikających z prawa pracy i prawa socjalnego, ustanowionych w prawie Unii, prawie krajowym, układach zbiorowych lub w konwencjach międzynarodowego prawa socjalnego i prawa pracy wymienionych w załączniku II, nie jest samo w sobie uznawane za społecznie odpowiedzialne zamówienia publiczne.</w:t>
      </w:r>
    </w:p>
    <w:p>
      <w:pPr>
        <w:pStyle w:val="Heading3"/>
        <w:jc w:val="center"/>
      </w:pPr>
      <w:r>
        <w:t>Artykuł 56</w:t>
      </w:r>
    </w:p>
    <w:p>
      <w:pPr>
        <w:pStyle w:val="Heading4"/>
        <w:jc w:val="center"/>
      </w:pPr>
      <w:r>
        <w:t>Dostępność</w:t>
      </w:r>
    </w:p>
    <w:p>
      <w:r>
        <w:t>1. W przypadku wszystkich zamówień na towary, usługi i roboty budowlane przeznaczone do użytku osób fizycznych, zarówno ogółu społeczeństwa, jak i pracowników nabywcy publicznego, nabywcy publiczni, z wyjątkiem należycie uzasadnionych przypadków, wymagają ich dostępności dla osób z niepełnosprawnościami i uwzględniają projektowanie dla wszystkich podejść. W tym celu nabywcy publiczni uwzględniają odpowiednie wymogi dostępności w specyfikacjach lub warunkach realizacji zamówień.</w:t>
      </w:r>
    </w:p>
    <w:p>
      <w:r>
        <w:t>2. W odniesieniu do produktów i usług, o których mowa w art. 2 dyrektywy (UE) 2019/882, nabywcy publiczni ustanawiają specyfikacje w zakresie kryteriów dostępności dla osób niepełnosprawnych lub projektowania dla wszystkich użytkowników poprzez odniesienie do załącznika I do tej dyrektywy.</w:t>
      </w:r>
    </w:p>
    <w:p>
      <w:pPr>
        <w:pStyle w:val="Heading3"/>
        <w:jc w:val="center"/>
      </w:pPr>
      <w:r>
        <w:t>Artykuł 57</w:t>
      </w:r>
    </w:p>
    <w:p>
      <w:pPr>
        <w:pStyle w:val="Heading4"/>
        <w:jc w:val="center"/>
      </w:pPr>
      <w:r>
        <w:t>Zamówienia zastrzeżone</w:t>
      </w:r>
    </w:p>
    <w:p>
      <w:r>
        <w:t>1. Nabywcy publiczni mogą zastrzec udział w postępowaniach o udzielenie zamówienia publicznego, w tym w odniesieniu do konkretnych jego części, dla organizacji, których głównym celem jest społeczna i zawodowa integracja osób z niepełnosprawnościami lub osób defaworyzowanych, pod warunkiem że co najmniej 30 % pracowników tych organizacji lub programów stanowią pracownicy z niepełnosprawnościami lub znajdujący się w niekorzystnej sytuacji, w tym przewidzieć możliwość realizacji takich zamówień w ramach umów o pracę objętych wsparciem lub programów zatrudnienia chronionego, pod warunkiem że chronione są prawa pracownicze osób z niepełnosprawnościami lub osób znajdujących się w niekorzystnej sytuacji.</w:t>
      </w:r>
    </w:p>
    <w:p>
      <w:r>
        <w:t>2. Nabywcy publiczni mogą zastrzec udział w postępowaniach o udzielenie zamówienia publicznego na usługi stanowiące część systemu opieki społecznej, które są objęte kodami CPV wymienionymi w załączniku VI, w tym w odniesieniu do konkretnych jego części, dla organizacji, które spełniają wszystkie następujące warunki:</w:t>
      </w:r>
    </w:p>
    <w:p>
      <w:r>
        <w:t>a) organizacja jest prawnie uznana za organizację nienastawioną na zysk na mocy prawa krajowego państwa członkowskiego, w którym organizacja została ustanowiona;</w:t>
      </w:r>
    </w:p>
    <w:p>
      <w:r>
        <w:t>głównym celem organizacji jest świadczenie usług publicznych w interesie ogólnym;</w:t>
      </w:r>
    </w:p>
    <w:p>
      <w:r>
        <w:t>c) decyzje organizacji nie opierają się na względach czysto handlowych, a wszelkie nadwyżki uzyskane w wyniku realizacji zamówienia są reinwestowane w świadczenie publicznych usług socjalnych świadczonych w interesie ogólnym, do których organizacja została utworzona.</w:t>
      </w:r>
    </w:p>
    <w:p>
      <w:pPr>
        <w:pStyle w:val="Heading3"/>
        <w:jc w:val="center"/>
      </w:pPr>
      <w:r>
        <w:t>Artykuł 58</w:t>
      </w:r>
    </w:p>
    <w:p>
      <w:pPr>
        <w:pStyle w:val="Heading4"/>
        <w:jc w:val="center"/>
      </w:pPr>
      <w:r>
        <w:t>Zamówienia na usługi społeczne, zdrowotne i edukacyjne</w:t>
      </w:r>
    </w:p>
    <w:p>
      <w:r>
        <w:t>1. W przypadku zamówień publicznych, których przedmiotem jest którakolwiek z usług wymienionych w załączniku VI, nabywcy publiczni mogą udzielać zamówień zgodnie z procedurami przewidzianymi w prawie krajowym, pod warunkiem że charakter usług wymaga od nabywców publicznych uwzględnienia specyfiki przedmiotowych usług oraz że przestrzegane są zasady przejrzystości i równego traktowania, a także obowiązki określone w ust. 2.</w:t>
      </w:r>
    </w:p>
    <w:p>
      <w:r>
        <w:t>2. Nabywcy publiczni udzielający zamówień zgodnie z ust. 1 niniejszego artykułu uwzględniają, poprzez odpowiednie wymogi w specyfikacjach, kryteria udzielenia zamówienia lub warunki realizacji zamówień, potrzebę zapewnienia jakości, ciągłości, dostępności dla osób z niepełnosprawnościami, przystępności cenowej, dostępności i kompleksowości usług, a także zaangażowania i wzmocnienia pozycji użytkowników, w tym osób defaworyzowanych i znajdujących się w trudnej sytuacji, w celu ochrony ich szczególnych osobistych potrzeb medycznych lub społecznych. Udzielając takich zamówień, nabywcy publiczni uwzględniają również potrzebę zapewnienia poszanowania prawa osób z niepełnosprawnościami do samostanowienia, jak określono w art. 19 Konwencji Narodów Zjednoczonych o prawach osób niepełnosprawnych.</w:t>
      </w:r>
    </w:p>
    <w:p>
      <w:r>
        <w:t>3. W przypadku gdy nabywca publiczny udziela zamówienia na podstawie niniejszego artykułu, publikuje publiczne podsumowanie wyników zgodnie z art. 110 ust. 4 niniejszego rozporządzenia nie później niż 20 dni po udzieleniu zamówienia.</w:t>
      </w:r>
    </w:p>
    <w:p>
      <w:pPr>
        <w:pStyle w:val="Heading2"/>
        <w:jc w:val="center"/>
      </w:pPr>
      <w:r>
        <w:t>Rozdział 3</w:t>
      </w:r>
    </w:p>
    <w:p>
      <w:pPr>
        <w:pStyle w:val="Heading2"/>
        <w:jc w:val="center"/>
      </w:pPr>
      <w:r>
        <w:t>Zamówienia publiczne na innowacje</w:t>
      </w:r>
    </w:p>
    <w:p>
      <w:pPr>
        <w:pStyle w:val="Heading3"/>
        <w:jc w:val="center"/>
      </w:pPr>
      <w:r>
        <w:t>Artykuł 59</w:t>
      </w:r>
    </w:p>
    <w:p>
      <w:pPr>
        <w:pStyle w:val="Heading4"/>
        <w:jc w:val="center"/>
      </w:pPr>
      <w:r>
        <w:t>Cele w zakresie innowacji w zamówieniach publicznych</w:t>
      </w:r>
    </w:p>
    <w:p>
      <w:r>
        <w:t>Nabywcy publiczni mogą uwzględniać cele w zakresie innowacji przy zamawianiu dostaw, robót budowlanych lub usług, które obejmują co najmniej jeden z następujących celów:</w:t>
      </w:r>
    </w:p>
    <w:p>
      <w:r>
        <w:t>a) promowanie wprowadzania na rynek w Unii wyników badań naukowych i innowacji oraz zachęcanie przedsiębiorstw typu start-up, przedsiębiorstw scale-up i MŚP do udziału w innowacjach w zamówieniach publicznych, a tym samym wspieranie rozpowszechniania innowacji i rozwoju innowacyjnych przedsiębiorstw;</w:t>
      </w:r>
    </w:p>
    <w:p>
      <w:r>
        <w:t>b) wspieranie wzrostu rynków pionierskich w strategicznych sektorach Unii poprzez zachęcanie do opracowywania i zamawiania innowacyjnych rozwiązań, które przyczyniają się do zrównoważenia środowiskowego, włączenia społecznego i zrównoważonego rozwoju, ochrony zdrowia, transformacji cyfrowej i postępu technologicznego, w tym interoperacyjności i rozwiązań opartych na otwartym oprogramowaniu na potrzeby systemów cyfrowych i elementów usług publicznych;</w:t>
      </w:r>
    </w:p>
    <w:p>
      <w:r>
        <w:t>c) poprawę opłacalności zakupów dokonywanych przez nabywcę publicznego w porównaniu z istniejącymi lub konwencjonalnymi rozwiązaniami alternatywnymi, przy jednoczesnym utrzymaniu lub poprawie jakości, ilości lub wpływu rozwiązań.</w:t>
      </w:r>
    </w:p>
    <w:p>
      <w:pPr>
        <w:pStyle w:val="Heading3"/>
        <w:jc w:val="center"/>
      </w:pPr>
      <w:r>
        <w:t>Artykuł 60</w:t>
      </w:r>
    </w:p>
    <w:p>
      <w:pPr>
        <w:pStyle w:val="Heading4"/>
        <w:jc w:val="center"/>
      </w:pPr>
      <w:r>
        <w:t>Zamówienia publiczne na innowacje</w:t>
      </w:r>
    </w:p>
    <w:p>
      <w:r>
        <w:t>1. Nabywcy publiczni klasyfikują swoje zamówienia jako zamówienia publiczne na innowacje w publicznym podsumowaniu warunków konkurencji, jeżeli zamówienie ma na celu zakup innowacyjnego rozwiązania. Innowacyjne rozwiązanie ma co najmniej jedną nową cechę, która zapewnia lepszą wydajność lub wartość dodaną w porównaniu z rozwiązaniami alternatywnymi, które są dostępne na rynku właściwym na zasadach komercyjnych na dużą skalę.</w:t>
      </w:r>
    </w:p>
    <w:p>
      <w:r>
        <w:t>Nowe cechy innowacyjnego rozwiązania mogą obejmować nowe lub ulepszone połączenia istniejących cech oraz nowe lub ulepszone sposoby wykorzystania istniejących cech, takie jak wykorzystanie istniejących cech w nowym sektorze lub nowym kontekście.</w:t>
      </w:r>
    </w:p>
    <w:p>
      <w:r>
        <w:t>2. W każdym przypadku nabywcy publiczni klasyfikują swoje zakupy w podsumowaniach publicznych jako zamówienia publiczne na innowacje w obu następujących przypadkach:</w:t>
      </w:r>
    </w:p>
    <w:p>
      <w:r>
        <w:t>a) udzielenia zamówienia na rozwiązanie, które zostało z powodzeniem opracowane w procedurze innowacyjnej zgodnie z art. 45;</w:t>
      </w:r>
    </w:p>
    <w:p>
      <w:r>
        <w:t>b) udzielenia zamówienia w procedurze otwartej na podstawie art. 34 i 35, w przypadku gdy nabywca publiczny zamierza nabyć rozwiązanie po udzieleniu przedkomercyjnego zamówienia publicznego zdefiniowanego w art. 6 pkt 13.</w:t>
      </w:r>
    </w:p>
    <w:p>
      <w:pPr>
        <w:pStyle w:val="Heading3"/>
        <w:jc w:val="center"/>
      </w:pPr>
      <w:r>
        <w:t>Artykuł 61</w:t>
      </w:r>
    </w:p>
    <w:p>
      <w:pPr>
        <w:pStyle w:val="Heading4"/>
        <w:jc w:val="center"/>
      </w:pPr>
      <w:r>
        <w:t>Techniki służące realizacji celów w zakresie innowacji w zamówieniach publicznych</w:t>
      </w:r>
    </w:p>
    <w:p>
      <w:r>
        <w:t>1. Aby realizować cele w zakresie innowacji, nabywcy publiczni mogą przygotowywać i opracowywać wszelkie postępowania o udzielenie zamówienia, stosując co najmniej jedną z następujących technik:</w:t>
      </w:r>
    </w:p>
    <w:p>
      <w:r>
        <w:t>a) zasięga, analizuje i wdraża porady mające na celu określenie dostępności innowacyjnych rozwiązań w ramach konsultacji rynkowych;</w:t>
      </w:r>
    </w:p>
    <w:p>
      <w:r>
        <w:t>b) rozważają zakup rozwiązań opartych na otwartym oprogramowaniu lub rozwiązań z elementami otwartego oprogramowania;</w:t>
      </w:r>
    </w:p>
    <w:p>
      <w:r>
        <w:t>c) stosują wyłącznie wymogi funkcjonalne lub, jeżeli nie jest to możliwe, wyraźnie dopuszczają warianty;</w:t>
      </w:r>
    </w:p>
    <w:p>
      <w:r>
        <w:t>d) ograniczają kryteria kwalifikacji do tego, co jest absolutnie niezbędne i proporcjonalne do ryzyka związanego z zamówieniem publicznym oraz zdolności niezbędnych do jego realizacji, oraz, w stosownych przypadkach, bez wymogów dotyczących obrotu i wyników osiągniętych w przeszłości;</w:t>
      </w:r>
    </w:p>
    <w:p>
      <w:r>
        <w:t>e) wymagają koncepcji innowacyjności dostaw, robót budowlanych lub usług jako jakościowego kryterium udzielenia zamówienia, w tym wykonalności i skalowalności tej koncepcji lub jej wpływu na cele ekologiczne, społeczne lub cyfrowe określone dla danego zamówienia;</w:t>
      </w:r>
    </w:p>
    <w:p>
      <w:r>
        <w:t>f) wyznaczają co najmniej jedną konkretną część na potrzeby innowacji i zapewniają jasne, precyzyjne i jednoznaczne warunki wszelkich dodatkowych zakupów na podstawie zamówienia udzielonego w ramach tej części, jeżeli rozwiązanie okaże się skuteczne;</w:t>
      </w:r>
    </w:p>
    <w:p>
      <w:r>
        <w:t>łączenie wielu etapów zamówienia publicznego na roboty budowlane, takich jak projektowanie, budowa, eksploatacja i utrzymanie, w ramach jednego zintegrowanego zamówienia;</w:t>
      </w:r>
    </w:p>
    <w:p>
      <w:r>
        <w:t>h) zagregowanego popytu na innowacyjne rozwiązania oraz umożliwienia podziału zadań związanych z testowaniem i walidacją między nabywców publicznych;</w:t>
      </w:r>
    </w:p>
    <w:p>
      <w:r>
        <w:t>i) umożliwiają eksperymentowanie, testowanie, walidację, rozwój, doskonalenie i reinwestowanie w postępowanie o udzielenie zamówienia lub realizację umowy.</w:t>
      </w:r>
    </w:p>
    <w:p>
      <w:r>
        <w:t>2. Techniki, o których mowa w ust. 1, mogą, stosownie do danej techniki i rodzaju danego rozwiązania, przyjąć formę specyfikacji, kryteriów kwalifikacji, aspektów jakościowych przy stosowaniu metody najlepszej relacji jakości do ceny lub warunków realizacji zamówień.</w:t>
      </w:r>
    </w:p>
    <w:p>
      <w:pPr>
        <w:pStyle w:val="Heading3"/>
        <w:jc w:val="center"/>
      </w:pPr>
      <w:r>
        <w:t>Artykuł 62</w:t>
      </w:r>
    </w:p>
    <w:p>
      <w:pPr>
        <w:pStyle w:val="Heading4"/>
        <w:jc w:val="center"/>
      </w:pPr>
      <w:r>
        <w:t>Specyfikacja praw własności intelektualnej</w:t>
      </w:r>
    </w:p>
    <w:p>
      <w:r>
        <w:t>1. W przypadku wszystkich postępowań podlegających niniejszemu rozporządzeniu nabywca publiczny określa, dokładając wszelkich starań, w szczegółach zamówienia, prawa własności intelektualnej, które uznaje za istotne dla realizacji zamówienia publicznego.</w:t>
      </w:r>
    </w:p>
    <w:p>
      <w:r>
        <w:t>2. Informacje te muszą być wystarczająco jasne i precyzyjne, aby umożliwić wykonawcom ocenę ich obowiązków z nimi związanych, określenie zakresu praw, które mają zostać przyznane lub przeniesione, oraz odpowiednie przygotowanie ofert.</w:t>
      </w:r>
    </w:p>
    <w:p>
      <w:r>
        <w:t>3. Przy szacowaniu wartości zamówienia zgodnie z art. 32 uwzględnia się, w stosownych przypadkach, wartość dystrybucji praw własności intelektualnej.</w:t>
      </w:r>
    </w:p>
    <w:p>
      <w:pPr>
        <w:pStyle w:val="Heading3"/>
        <w:jc w:val="center"/>
      </w:pPr>
      <w:r>
        <w:t>Artykuł 63</w:t>
      </w:r>
    </w:p>
    <w:p>
      <w:pPr>
        <w:pStyle w:val="Heading4"/>
        <w:jc w:val="center"/>
      </w:pPr>
      <w:r>
        <w:t>Udzielanie licencji</w:t>
      </w:r>
    </w:p>
    <w:p>
      <w:r>
        <w:t>1. Wykonawca udziela nabywcy publicznemu odpowiednich, wystarczających i niewyłącznych licencji w zakresie i na okres, które są niezbędne, aby umożliwić mu korzystanie z usług, rezultatów lub innych rezultatów umownych dostarczonych w ramach realizacji zamówienia publicznego, ich odbiór, obsługę, utrzymywanie lub czerpanie z nich innych korzyści.</w:t>
      </w:r>
    </w:p>
    <w:p>
      <w:r>
        <w:t>Licencje, o których mowa w akapicie pierwszym, obejmują oba następujące prawa:</w:t>
      </w:r>
    </w:p>
    <w:p>
      <w:r>
        <w:t>a) wszelkie wcześniej istniejące prawa własności intelektualnej będące własnością wykonawcy lub licencjonowane na jego rzecz;</w:t>
      </w:r>
    </w:p>
    <w:p>
      <w:r>
        <w:t>b) wszelkie prawa własności intelektualnej powstałe w trakcie realizacji zamówienia publicznego.</w:t>
      </w:r>
    </w:p>
    <w:p>
      <w:r>
        <w:t>2. Licencje, o których mowa w ust. 1, umożliwiają nabywcy publicznemu – bezpośrednio albo za pośrednictwem wykonawców lub usługodawców działających w jego imieniu – wykorzystywanie, odtwarzanie, wykonywanie, wyświetlanie, dostosowywanie, konfigurowanie, integrowanie, utrzymywanie, naprawianie, wspieranie, modernizowanie i wykorzystywanie w inny sposób takich praw i związanych z nimi rezultatów w zakresie niezbędnym do zapewnienia dalszego korzystania z dostaw, usług lub robót budowlanych zgodnie z ich przeznaczeniem oraz należytego wykonania zamówienia publicznego.</w:t>
      </w:r>
    </w:p>
    <w:p>
      <w:pPr>
        <w:pStyle w:val="Heading3"/>
        <w:jc w:val="center"/>
      </w:pPr>
      <w:r>
        <w:t>Artykuł 64</w:t>
      </w:r>
    </w:p>
    <w:p>
      <w:pPr>
        <w:pStyle w:val="Heading4"/>
        <w:jc w:val="center"/>
      </w:pPr>
      <w:r>
        <w:t>Ograniczenia dotyczące przeniesienia własności</w:t>
      </w:r>
    </w:p>
    <w:p>
      <w:r>
        <w:t>1. Wszelka wcześniej istniejąca własność intelektualna, w tym komponenty oprogramowania, modele, metody, platformy lub systemy będące własnością wykonawcy lub przez niego kontrolowane przed udzieleniem zamówienia lub niezależnie od niego, pozostaje własnością wykonawcy i nie podlega obowiązkom przeniesienia własności na nabywcę publicznego.</w:t>
      </w:r>
    </w:p>
    <w:p>
      <w:r>
        <w:t>2. Na zasadzie odstępstwa od ust. 1 nabywcy publiczni mogą wymagać przeniesienia własności wcześniej istniejących praw własności intelektualnej, które są niezbędne do realizacji, eksploatacji i utrzymania rozwiązań, w szczególności w przypadkach infrastruktury krytycznej i jeżeli jest to uwzględnione w szczegółach zamówienia w sposób proporcjonalny, przejrzysty i niedyskryminacyjny, bez zakłócania konkurencji.</w:t>
      </w:r>
    </w:p>
    <w:p>
      <w:r>
        <w:t>3. W przypadku praw własności intelektualnej powstałych w związku z realizacją zamówienia publicznego nabywcy publiczni określają, w stosownych przypadkach, podział tych praw między nabywcą publicznym a wykonawcą w szczegółach zamówienia.</w:t>
      </w:r>
    </w:p>
    <w:p>
      <w:r>
        <w:t>4. Na zasadzie odstępstwa od ust. 3 niniejszego artykułu w przypadku zamówień publicznych podlegających procedurze innowacyjnej na podstawie art. 41–45 wykonawcy zachowują własność praw własności intelektualnej powstałych w trakcie procedury innowacyjnej lub w trakcie realizacji danego zamówienia publicznego, chyba że jest to uzasadnione nadrzędnymi względami interesu publicznego wyraźnie określonymi w szczegółach zamówienia. Takie nadrzędne względy interesu publicznego mogą odnosić się między innymi do potrzeby zapobiegania blokadzie technologicznej lub ochrony bezpieczeństwa lub krytycznych usług publicznych nabywcy publicznego, państwa członkowskiego lub Unii, w szczególności w odniesieniu do infrastruktury krytycznej.</w:t>
      </w:r>
    </w:p>
    <w:p>
      <w:pPr>
        <w:pStyle w:val="Heading3"/>
        <w:jc w:val="center"/>
      </w:pPr>
      <w:r>
        <w:t>Artykuł 65</w:t>
      </w:r>
    </w:p>
    <w:p>
      <w:pPr>
        <w:pStyle w:val="Heading4"/>
        <w:jc w:val="center"/>
      </w:pPr>
      <w:r>
        <w:t>Modelowanie informacji o budynku</w:t>
      </w:r>
    </w:p>
    <w:p>
      <w:r>
        <w:t>1. Przy realizacji zamówień publicznych na roboty budowlane o szacunkowej wartości co najmniej 25 000 000 EUR nabywcy publiczni wymagają stosowania modelowania informacji o budynku przy realizacji zamówień publicznych na roboty budowlane.</w:t>
      </w:r>
    </w:p>
    <w:p>
      <w:r>
        <w:t>2. „Modelowanie informacji o budynku” oznacza metody wspólnych procesów cyfrowych z wykorzystaniem otwartych, interoperacyjnych formatów w celu tworzenia ustrukturyzowanych informacji na temat zamówienia publicznego na roboty budowlane, zarządzania nimi i ich wymiany w całym cyklu życia.</w:t>
      </w:r>
    </w:p>
    <w:p>
      <w:r>
        <w:t>3. Na zasadzie odstępstwa od ust. 1 nabywcy publiczni mogą:</w:t>
      </w:r>
    </w:p>
    <w:p>
      <w:r>
        <w:t>a) zwraca się o stosowanie modelowania informacji o budynku wyłącznie do niektórych wykonawców lub w odniesieniu do niektórych części, w przypadku gdy takie wymogi w przeciwnym razie nakładałyby nieproporcjonalne obciążenie na zainteresowane wykonawcy, a pełne uwzględnienie projektu w modelowaniu informacji o budynku nie jest konieczne; lub</w:t>
      </w:r>
    </w:p>
    <w:p>
      <w:r>
        <w:t>b) nie wymagać stosowania modelowania informacji o budynku lub wymagać jego stosowania jedynie w odniesieniu do niektórych części rozwiązania lub od niektórych wykonawców, w przypadku gdy takie wymogi stanowiłyby w przeciwnym razie zagrożenie dla bezpieczeństwa lub bezpieczeństwa publicznego.</w:t>
      </w:r>
    </w:p>
    <w:p>
      <w:r>
        <w:t>4. Komisja jest uprawniona do przyjmowania aktów delegowanych zgodnie z art. 141 w celu zmiany niniejszego rozporządzenia, aby obniżyć próg określony w ust. 1, w przypadku gdy jest to uzasadnione zwiększonym rozpowszechnieniem na rynku modelowania informacji o budynku.</w:t>
      </w:r>
    </w:p>
    <w:p>
      <w:pPr>
        <w:pStyle w:val="Heading2"/>
        <w:jc w:val="center"/>
      </w:pPr>
      <w:r>
        <w:t>Rozdział 4</w:t>
      </w:r>
    </w:p>
    <w:p>
      <w:pPr>
        <w:pStyle w:val="Heading2"/>
        <w:jc w:val="center"/>
      </w:pPr>
      <w:r>
        <w:t>Bezpieczeństwo i odporność</w:t>
      </w:r>
    </w:p>
    <w:p>
      <w:pPr>
        <w:pStyle w:val="Heading3"/>
        <w:jc w:val="center"/>
      </w:pPr>
      <w:r>
        <w:t>Artykuł 66</w:t>
      </w:r>
    </w:p>
    <w:p>
      <w:pPr>
        <w:pStyle w:val="Heading4"/>
        <w:jc w:val="center"/>
      </w:pPr>
      <w:r>
        <w:t>Względy bezpieczeństwa w zamówieniach publicznych</w:t>
      </w:r>
    </w:p>
    <w:p>
      <w:r>
        <w:t>1. Nabywcy publiczni wprowadzają odpowiednie środki, oprócz środków wymaganych lub nałożonych na mocy innych przepisów Unii, w stosownych przypadkach, na każdym etapie postępowania o udzielenie zamówienia, od planowania i konsultacji rynkowych po udzielenie i wykonanie zamówienia, w celu zapewnienia ochrony interesów Unii lub co najmniej jednego państwa członkowskiego w zakresie bezpieczeństwa i bezpieczeństwa publicznego w odniesieniu do każdego postępowania o udzielenie zamówienia publicznego, w przypadku którego stwierdzono, że stwarza ryzyko dla bezpieczeństwa lub bezpieczeństwa publicznego lub obejmuje takie ryzyko. Niniejszy rozdział pozostaje bez uszczerbku dla innych wymogów wynikających z odpowiednich przepisów Unii.</w:t>
      </w:r>
    </w:p>
    <w:p>
      <w:r>
        <w:t>2. Interesy Unii lub państwa członkowskiego w zakresie bezpieczeństwa i bezpieczeństwa publicznego istotne dla danego zamówienia mogą obejmować między innymi:</w:t>
      </w:r>
    </w:p>
    <w:p>
      <w:r>
        <w:t>a) ochronę infrastruktury krytycznej, strategicznej infrastruktury podwójnego zastosowania, zidentyfikowanej przez państwa członkowskie zgodnie z [art. 33 rozporządzenia w sprawie mobilności wojskowej], w szczególności w odniesieniu do infrastruktury znajdującej się w korytarzu mobilności wojskowej, krytycznych łańcuchów dostaw, technologii krytycznych lub usług kluczowych, odporność na zagrożenia fizyczne, cybernetyczne lub hybrydowe oraz zapobieganie wszelkim zakłóceniom i ochronę przed ryzykiem wszelkich zakłóceń, w tym ze względu na szkodliwe strategiczne zależności od dostawców z państw trzecich,</w:t>
      </w:r>
    </w:p>
    <w:p>
      <w:r>
        <w:t>b) zapobieganie szpiegostwu, sabotażowi lub wyciekowi technologii;</w:t>
      </w:r>
    </w:p>
    <w:p>
      <w:r>
        <w:t>c) gotowość na wypadek sytuacji kryzysowej, w tym ciągłość działania i planowanie awaryjne na wypadek zakłóceń w przypadku klęsk żywiołowych lub niestabilności geopolitycznej, pandemii lub cyberataków;</w:t>
      </w:r>
    </w:p>
    <w:p>
      <w:r>
        <w:t>d) zapobieganie innym szkodliwym zakłóceniom, w tym wpływom kontrolowanym przez państwa trzecie i państwa trzecie;</w:t>
      </w:r>
    </w:p>
    <w:p>
      <w:r>
        <w:t>e) cyberbezpieczeństwo przetwarzanych systemów, sieci i danych;</w:t>
      </w:r>
    </w:p>
    <w:p>
      <w:r>
        <w:t>f) ochronę informacji niejawnych, danych szczególnie chronionych, badań naukowych lub własności intelektualnej przed nieuprawnionym dostępem lub przekazaniem;</w:t>
      </w:r>
    </w:p>
    <w:p>
      <w:r>
        <w:t>zapewnienie zdrowia publicznego, w tym przygotowanych na sytuacje kryzysowe i samowystarczalnych usług zdrowotnych; lub</w:t>
      </w:r>
    </w:p>
    <w:p>
      <w:r>
        <w:t>h) odporność na zakłócenia związane z klimatem.</w:t>
      </w:r>
    </w:p>
    <w:p>
      <w:r>
        <w:t>3. Ryzyko dla bezpieczeństwa lub bezpieczeństwa publicznego w ramach zamówienia publicznego może wynikać w szczególności z:</w:t>
      </w:r>
    </w:p>
    <w:p>
      <w:r>
        <w:t>przedmiot zamówienia, taki jak:</w:t>
      </w:r>
    </w:p>
    <w:p>
      <w:r>
        <w:t>i) wrażliwość aktywów zaangażowanych w jego realizację lub aktywów, które mają zostać opracowane w ramach jego realizacji;</w:t>
      </w:r>
    </w:p>
    <w:p>
      <w:r>
        <w:t>ii) dostęp do danych szczególnie chronionych i postępowanie z nimi;</w:t>
      </w:r>
    </w:p>
    <w:p>
      <w:r>
        <w:t>iii) krytyczna zależność lub ryzyko krytycznej zależności od ograniczonej liczby dostawców, towarów, usług lub technologii z państw trzecich;</w:t>
      </w:r>
    </w:p>
    <w:p>
      <w:r>
        <w:t>iv) ryzyko związane z dostępem do infrastruktury krytycznej, strategicznej infrastruktury podwójnego zastosowania zidentyfikowanej przez państwa członkowskie zgodnie z [art. 33 rozporządzenia w sprawie mobilności wojskowej], obiektów badawczych, systemów informatycznych lub materiałów krytycznych;</w:t>
      </w:r>
    </w:p>
    <w:p>
      <w:r>
        <w:t>v) podwójny charakter zamawianych technologii, robót budowlanych, towarów lub usług;</w:t>
      </w:r>
    </w:p>
    <w:p>
      <w:r>
        <w:t>vi) charakter związanych z nim interesów publicznych oraz potencjalne konsekwencje nieprawidłowego działania lub nieprawidłowego działania, takie jak zagrożenie dla bezpieczeństwa publicznego, bezpieczeństwa narodowego, stabilności gospodarczej, bezpieczeństwa zdrowotnego lub praw podstawowych;</w:t>
      </w:r>
    </w:p>
    <w:p>
      <w:r>
        <w:t>b) cechy wykonawców, takie jak:</w:t>
      </w:r>
    </w:p>
    <w:p>
      <w:r>
        <w:t>i) struktury własności, kontroli lub finansowania obciążonej ryzykiem nadmiernej ingerencji lub wpływu na nią;</w:t>
      </w:r>
    </w:p>
    <w:p>
      <w:r>
        <w:t>ii) dotychczasowe osiągnięcia w zakresie bezpieczeństwa, w tym naruszenia w przeszłości, nieprzestrzeganie norm bezpieczeństwa lub wykluczenie z innych postępowań o udzielenie zamówienia ze względów bezpieczeństwa;</w:t>
      </w:r>
    </w:p>
    <w:p>
      <w:r>
        <w:t>iii) zdolność do spełnienia mających zastosowanie wymogów dotyczących poświadczenia bezpieczeństwa, weryfikacji personelu lub bezpieczeństwa informacji;</w:t>
      </w:r>
    </w:p>
    <w:p>
      <w:r>
        <w:t>iv) podleganie przepisom państwa trzeciego, które mogą wymagać ujawnienia informacji szczególnie chronionych lub ingerencji w realizację zamówienia.</w:t>
      </w:r>
    </w:p>
    <w:p>
      <w:r>
        <w:t>4. Nabywcy publiczni w miarę możliwości określają w szczegółach zamówienia w jasny i wystarczająco szczegółowy sposób odpowiednie środki, które są proporcjonalne do ryzyka, o którym mowa w ust. 3, i niedyskryminacyjne. Takie środki mogą być wdrażane w szczególności poprzez:</w:t>
      </w:r>
    </w:p>
    <w:p>
      <w:r>
        <w:t>a) specyfikacje, takie jak obowiązkowe normy bezpieczeństwa, certyfikaty, obowiązki w zakresie weryfikacji personelu lub poświadczenia bezpieczeństwa, lub wymogi w zakresie zarządzania ryzykiem i zapewnienia bezpieczeństwa;</w:t>
      </w:r>
    </w:p>
    <w:p>
      <w:r>
        <w:t>b) kryteria udzielenia zamówienia, takie jak ocena systemów zarządzania bezpieczeństwem oferentów, norm zgodności w zakresie bezpieczeństwa, zdolności reagowania na incydenty, bezpieczeństwa łańcucha dostaw;</w:t>
      </w:r>
    </w:p>
    <w:p>
      <w:r>
        <w:t>c) warunki realizacji zamówień, takie jak umożliwienie nadzoru nad bezpieczeństwem dostawców poprzez audyty, inspekcje lub przeglądy dokumentacji oraz wdrożenie środków naprawczych w przypadku naruszeń, w tym przepisów dotyczących podwykonawstwa, powiadamiania o zmianie własności oraz ochrony informacji niejawnych lub szczególnie chronionych;</w:t>
      </w:r>
    </w:p>
    <w:p>
      <w:r>
        <w:t>d) kryteria kwalifikacji, w uzasadnionych przypadkach, takie jak posiadanie poświadczenia bezpieczeństwa lub w inny sposób wymaganie od oferentów wykazania, że nie stanowią oni zagrożenia dla bezpieczeństwa lub bezpieczeństwa publicznego zgodnie z ust. 3 lit. b). Pozostaje to bez uszczerbku dla art. 26;</w:t>
      </w:r>
    </w:p>
    <w:p>
      <w:r>
        <w:t>na zasadzie odstępstwa od art. 34 ust. 2 zapraszają do złożenia oferty w postępowaniu, o którym mowa w art. 34, wyłącznie tych wykonawców, którzy spełniają szczególne obiektywne i niedyskryminujące wymogi związane z bezpieczeństwem, pod warunkiem że nabywca publiczny wyraził taki zamiar, a wymogi związane z bezpieczeństwem, które zamierza stosować, w publicznym podsumowaniu warunków konkurencji w odniesieniu do danego zamówienia.</w:t>
      </w:r>
    </w:p>
    <w:p>
      <w:r>
        <w:t>Nabywcy publiczni mogą również wskazać w szczegółach zamówienia, jakie środki bezpieczeństwa zamierzają wdrożyć w przypadku wystąpienia zagrożeń dla bezpieczeństwa lub bezpieczeństwa publicznego w trakcie postępowania o udzielenie zamówienia.</w:t>
      </w:r>
    </w:p>
    <w:p>
      <w:r>
        <w:t>5. Nabywcy publiczni w dowolnym momencie postępowania wykluczają wykonawcę z udziału w postępowaniu o udzielenie zamówienia, w przypadku gdy wykonawca został zidentyfikowany jako dostawca wysokiego ryzyka zgodnie z rozporządzeniem (UE) XXXX/XXX [wniosek w sprawie CSA2] w odniesieniu do dostarczania komponentów ICT lub komponentów obejmujących komponenty ICT, które mają być wykorzystywane w kluczowych zasobach ICT zidentyfikowanych zgodnie z art. [...] tego rozporządzenia.</w:t>
      </w:r>
    </w:p>
    <w:p>
      <w:r>
        <w:t>6. W przypadku gdy istnieją dowody, że różnice w środkach wpływają na funkcjonowanie rynku wewnętrznego, Komisja jest uprawniona do przyjmowania aktów delegowanych zgodnie z art. 141 w celu uzupełnienia niniejszego rozporządzenia poprzez ustanowienie obowiązkowych specyfikacji technicznych, kryteriów kwalifikacji, kryteriów udzielenia zamówienia lub klauzul dotyczących realizacji zamówienia w odniesieniu do określonych kategorii towarów, usług lub robót budowlanych, w przypadku gdy takie elementy odnoszą się do określonego szczególnego interesu Unii w zakresie bezpieczeństwa i bezpieczeństwa publicznego.</w:t>
      </w:r>
    </w:p>
    <w:p>
      <w:pPr>
        <w:pStyle w:val="Heading3"/>
        <w:jc w:val="center"/>
      </w:pPr>
      <w:r>
        <w:t>Artykuł 67</w:t>
      </w:r>
    </w:p>
    <w:p>
      <w:pPr>
        <w:pStyle w:val="Heading4"/>
        <w:jc w:val="center"/>
      </w:pPr>
      <w:r>
        <w:t>Środki bezpieczeństwa podczas realizacji zamówienia</w:t>
      </w:r>
    </w:p>
    <w:p>
      <w:r>
        <w:t>1. Bez uszczerbku dla prawa umów państw członkowskich nabywca publiczny może rozwiązać umowę w całości lub w części, jeżeli stwierdzi, że wykonawca nie wypełnił środków lub obowiązków mających na celu zapobieganie ryzyku dla bezpieczeństwa lub bezpieczeństwa publicznego lub ograniczanie takiego ryzyka, lub że ryzyko dla bezpieczeństwa lub bezpieczeństwa publicznego urzeczywistniło się lub może się urzeczywistnić. Na tych samych warunkach mogą one wykluczyć niektórych wykonawców w trakcie realizacji zamówienia.</w:t>
      </w:r>
    </w:p>
    <w:p>
      <w:r>
        <w:t>2. Wypowiedzenie i wykluczenie na podstawie niniejszego artykułu są proporcjonalne do ryzyka dla bezpieczeństwa lub bezpieczeństwa publicznego. Przed rozwiązaniem umowy lub wykluczeniem wykonawcy nabywca publiczny przeprowadza pisemną ocenę. Nabywca publiczny uwzględnia w szczególności:</w:t>
      </w:r>
    </w:p>
    <w:p>
      <w:r>
        <w:t>a) powagę zagrożenia dla bezpieczeństwa lub bezpieczeństwa publicznego;</w:t>
      </w:r>
    </w:p>
    <w:p>
      <w:r>
        <w:t>b) wpływ rozwiązania umowy na świadczenie usług publicznych;</w:t>
      </w:r>
    </w:p>
    <w:p>
      <w:r>
        <w:t>c) alternatywne środki łagodzące, takie jak zmiany w umowach lub wzmocnione monitorowanie.</w:t>
      </w:r>
    </w:p>
    <w:p>
      <w:r>
        <w:t>3. O ile nie jest to uzasadnione powagą występującego ryzyka, nieuchronnością zagrożenia lub w przypadku gdy powiadomienie może zwiększyć ryzyko, nabywca publiczny powiadamia wykonawcę na piśmie o zamiarze zakończenia lub wykluczenia, określając:</w:t>
      </w:r>
    </w:p>
    <w:p>
      <w:r>
        <w:t>a) podstawy wypowiedzenia lub wykluczenia;</w:t>
      </w:r>
    </w:p>
    <w:p>
      <w:r>
        <w:t>fakty i dowody na poparcie decyzji, z wyjątkiem informacji niejawnych;</w:t>
      </w:r>
    </w:p>
    <w:p>
      <w:r>
        <w:t>proponowaną datę zakończenia lub wykluczenia.</w:t>
      </w:r>
    </w:p>
    <w:p>
      <w:r>
        <w:t>4. Wykonawca dysponuje odpowiednim terminem, określonym przez nabywcę publicznego, który nie może być krótszy niż dziesięć dni kalendarzowych, na przedstawienie uwag dotyczących powodów rozwiązania umowy lub wykluczenia oraz zaproponowanie działań naprawczych. Nabywca publiczny może skrócić termin w sytuacji nadzwyczajnej.</w:t>
      </w:r>
    </w:p>
    <w:p>
      <w:r>
        <w:t>5. Wykonawca współpracuje z nabywcą publicznym w celu zabezpieczenia lub przekazania danych, dokumentów lub aktywów związanych z zamówieniem oraz zapewnia ciągłość usług krytycznych do czasu, gdy wypowiedzenie stanie się skuteczne.</w:t>
      </w:r>
    </w:p>
    <w:p>
      <w:pPr>
        <w:pStyle w:val="Heading3"/>
        <w:jc w:val="center"/>
      </w:pPr>
      <w:r>
        <w:t>Artykuł 68</w:t>
      </w:r>
    </w:p>
    <w:p>
      <w:pPr>
        <w:pStyle w:val="Heading4"/>
        <w:jc w:val="center"/>
      </w:pPr>
      <w:r>
        <w:t>Cyberbezpieczeństwo</w:t>
      </w:r>
    </w:p>
    <w:p>
      <w:r>
        <w:t>1. W przypadku gdy produkty z elementami cyfrowymi wchodzą w zakres rozporządzenia (UE) 2024/2847, państwa członkowskie zapewniają, aby w procesie udzielania zamówień brano pod uwagę zgodność z zasadniczymi wymaganiami w zakresie cyberbezpieczeństwa określonymi w załączniku I do tego rozporządzenia, w tym zdolność producentów do skutecznego radzenia sobie z podatnościami.</w:t>
      </w:r>
    </w:p>
    <w:p>
      <w:r>
        <w:t>2. Niniejsze rozporządzenie nie uniemożliwia państwom członkowskim objęcia produktów z elementami cyfrowymi dodatkowymi wymogami w zakresie cyberbezpieczeństwa w odniesieniu do nabywania tych produktów lub korzystania z nich do określonych celów, w tym w przypadku gdy produkty te są zamawiane lub wykorzystywane do celów bezpieczeństwa narodowego lub obronności, pod warunkiem że wymogi te są zgodne z obowiązkami państw członkowskich określonymi w prawie Unii oraz że są one niezbędne i proporcjonalne do osiągnięcia tych celów.</w:t>
      </w:r>
    </w:p>
    <w:p>
      <w:r>
        <w:t>3. Bez uszczerbku dla ust. 1 i bez uszczerbku dla dyrektywy (UE) 2022/2555[52], w stosownych przypadkach, nabywcy publiczni mogą określić w szczegółach zamówienia wymogi dotyczące cyberbezpieczeństwa w odniesieniu do zamawianych robót budowlanych, dostaw lub usług. W tym celu mogą one obejmować specyfikacje, kryteria kwalifikacji, kryteria udzielenia zamówienia lub warunki realizacji zamówień. Wymogi te muszą być związane z przedmiotem zamówienia i zgodne z zasadami przejrzystości, niedyskryminacji i proporcjonalności.</w:t>
      </w:r>
    </w:p>
    <w:p>
      <w:r>
        <w:rPr>
          <w:sz w:val="16"/>
        </w:rPr>
        <w:t>52 Dyrektywa Parlamentu Europejskiego i Rady (UE) 2022/2555 z dnia 14 grudnia 2022 r. w sprawie środków na rzecz wysokiego wspólnego poziomu cyberbezpieczeństwa na terytorium Unii, zmieniająca rozporządzenie (UE) nr 910/2014 i dyrektywę (UE) 2018/1972 oraz uchylająca dyrektywę (UE) 2016/1148 (dyrektywa NIS 2) (Dz.U. L 333 z 27.12.2022, s. 80, ELI: http://data.europa.eu/eli/dir/2022/2555/oj).</w:t>
      </w:r>
    </w:p>
    <w:p>
      <w:pPr>
        <w:pStyle w:val="Heading3"/>
        <w:jc w:val="center"/>
      </w:pPr>
      <w:r>
        <w:t>Artykuł 69</w:t>
      </w:r>
    </w:p>
    <w:p>
      <w:pPr>
        <w:pStyle w:val="Heading4"/>
        <w:jc w:val="center"/>
      </w:pPr>
      <w:r>
        <w:t>Odporność i bezpieczeństwo dostaw dla podmiotów lub infrastruktur krytycznych</w:t>
      </w:r>
    </w:p>
    <w:p>
      <w:r>
        <w:t>1. W przypadku gdy zamówienie publiczne ma zostać zrealizowane przez nabywcę publicznego, który został zidentyfikowany przez właściwe państwo członkowskie jako podmiot krytyczny zgodnie z art. 6 dyrektywy (UE) 2022/2557[53], nabywca publiczny uwzględnia, w stosownych przypadkach, w szczegółach zamówienia wymogi dotyczące bezpieczeństwa dostaw, odporności gospodarczej, fizycznej i geopolitycznej, a także przejrzystości i zrównoważonego charakteru łańcuchów dostaw w odniesieniu do zamawianych robót budowlanych, dostaw lub usług. W stosownych przypadkach wymogi takie opierają się na ryzyku zidentyfikowanym w ramach obowiązku oceny ryzyka na podstawie art. 12 dyrektywy (UE) 2022/2557.</w:t>
      </w:r>
    </w:p>
    <w:p>
      <w:r>
        <w:t>2. Wymogi, o których mowa w ust. 1, mogą zostać określone w specyfikacjach, kryteriach kwalifikacji, kryteriach udzielenia zamówienia lub warunkach realizacji zamówień, muszą być powiązane z przedmiotem zamówienia i zgodne z zasadami przejrzystości, niedyskryminacji i proporcjonalności.</w:t>
      </w:r>
    </w:p>
    <w:p>
      <w:r>
        <w:t>3. Nabywcy publiczni mogą między innymi wymagać, aby oferta zawierała co najmniej jeden z następujących elementów lub aby umowa przewidywała co najmniej jeden z następujących elementów:</w:t>
      </w:r>
    </w:p>
    <w:p>
      <w:r>
        <w:t>a) dywersyfikację łańcucha dostaw, w tym stosowanie podejścia wieloźródłowego, geograficzną dywersyfikację produkcji lub ograniczenie zależności od jednego państwa trzeciego lub jednego wykonawcy z państwa trzeciego;</w:t>
      </w:r>
    </w:p>
    <w:p>
      <w:r>
        <w:t>bezpieczeństwo dostaw i ciągłość dostaw, w tym:</w:t>
      </w:r>
    </w:p>
    <w:p>
      <w:r>
        <w:t>i) certyfikacji lub dokumentacji wykazującej, że organizacja i lokalizacja łańcucha dostaw oferenta umożliwią mu spełnienie wymogów w zakresie bezpieczeństwa dostaw określonych w dokumentacji zamówienia;</w:t>
      </w:r>
    </w:p>
    <w:p>
      <w:r>
        <w:t>ii) zobowiązanie do zapewnienia, aby ewentualne zmiany w łańcuchu dostaw w trakcie realizacji zamówienia nie miały negatywnego wpływu na zgodność z tymi wymogami;</w:t>
      </w:r>
    </w:p>
    <w:p>
      <w:r>
        <w:t>iii) obowiązki w zakresie gromadzenia zapasów w Unii;</w:t>
      </w:r>
    </w:p>
    <w:p>
      <w:r>
        <w:t>iv) plany ciągłości działania i przywrócenia gotowości do pracy po wystąpieniu sytuacji nadzwyczajnej;</w:t>
      </w:r>
    </w:p>
    <w:p>
      <w:r>
        <w:t>zobowiązanie oferenta do zapewnienia, zgodnie z warunkami, które mają zostać uzgodnione, konkretnych środków niezbędnych do dalszej produkcji lub dostarczania części zamiennych, komponentów, zespołów, aktualizacji oprogramowania lub sprzętu badawczego, w przypadku gdy nie jest on już w stanie samodzielnie zapewnić dostaw;</w:t>
      </w:r>
    </w:p>
    <w:p>
      <w:r>
        <w:t>c) gotowość na wypadek sytuacji kryzysowej i zdolność reagowania na nagłe wzrosty, w tym:</w:t>
      </w:r>
    </w:p>
    <w:p>
      <w:r>
        <w:t>i) zobowiązanie oferenta do ustanowienia lub utrzymania wymaganej zdolności, w tym zdolności zwiększania skali, w celu zaspokojenia dodatkowych potrzeb nabywcy publicznego wynikających z kryzysu, zgodnie z warunkami, które mają zostać uzgodnione;</w:t>
      </w:r>
    </w:p>
    <w:p>
      <w:r>
        <w:t>ii) plany gotowości na wypadek sytuacji kryzysowej, obowiązkowe szkolenie kadry kierowniczej i kluczowego personelu oraz powiadamianie nabywcy publicznego o incydentach;</w:t>
      </w:r>
    </w:p>
    <w:p>
      <w:r>
        <w:t>d) przejrzystość i identyfikowalność łańcucha dostaw, jeżeli jest to proporcjonalne do znaczenia zamówienia i związanego z nim ryzyka, w tym jakości zarządzania łańcuchem dostaw i planów awaryjnych przedstawionych przez oferentów;</w:t>
      </w:r>
    </w:p>
    <w:p>
      <w:r>
        <w:t>e) zobowiązanie usługodawców do wskazania wszystkim zainteresowanym nabywcom publicznym wszelkich potencjalnych przypadków podwójnego zarezerwowania zdolności lub usług przed przyjęciem sprzecznych zleceń;</w:t>
      </w:r>
    </w:p>
    <w:p>
      <w:r>
        <w:t>f) klauzula elastycznego uczestnictwa, umożliwiająca innym nabywcom publicznym przystąpienie do umowy w charakterze umawiających się stron bez zmiany zakresu przedmiotowego lub ilościowego umowy.</w:t>
      </w:r>
    </w:p>
    <w:p>
      <w:r>
        <w:t>4. Komisja jest uprawniona do przyjmowania aktów delegowanych zgodnie z art. 141 ustanawiających obowiązkowe specyfikacje, kryteria kwalifikacji, kryteria udzielenia zamówienia lub warunki realizacji zamówień związanych z odpornością, bezpieczeństwem dostaw i przejrzystością łańcucha dostaw w odniesieniu do określonych kategorii robót budowlanych, dostaw lub usług, w przypadku których stwierdzono krytyczną zależność, ryzyko systemowe lub wymiar infrastruktury krytycznej.</w:t>
      </w:r>
    </w:p>
    <w:p>
      <w:r>
        <w:t>5. Niniejszy artykuł pozostaje bez uszczerbku dla wymogów w zakresie bezpieczeństwa dostaw wynikających z odpowiednich przepisów Unii, w szczególności wymogów określonych w rozporządzeniu (UE) 2019/1242[54] i rozporządzeniu (UE) 2024/1735.</w:t>
      </w:r>
    </w:p>
    <w:p>
      <w:r>
        <w:rPr>
          <w:sz w:val="16"/>
        </w:rPr>
        <w:t>53 Dyrektywa Parlamentu Europejskiego i Rady (UE) 2022/2557 z dnia 14 grudnia 2022 r. w sprawie odporności podmiotów krytycznych i uchylająca dyrektywę Rady 2008/114/WE (Dz.U. L 333 z 27.12.2022, s. 164, ELI: http://data.europa.eu/eli/dir/2022/2557/oj).</w:t>
      </w:r>
    </w:p>
    <w:p>
      <w:r>
        <w:rPr>
          <w:sz w:val="16"/>
        </w:rPr>
        <w:t>54 Rozporządzenie Parlamentu Europejskiego i Rady (UE) 2019/1242 z dnia 20 czerwca 2019 r. określające normy emisji CO2 dla nowych pojazdów ciężkich oraz zmieniające rozporządzenia Parlamentu Europejskiego i Rady (WE) nr 595/2009 i (UE) 2018/956 oraz dyrektywę Rady 96/53/WE (Dz.U. L 198 z 25.7.2019, s. 202, ELI: http://data.europa.eu/eli/reg/2019/1242/oj).</w:t>
      </w:r>
    </w:p>
    <w:p>
      <w:pPr>
        <w:pStyle w:val="Heading2"/>
        <w:jc w:val="center"/>
      </w:pPr>
      <w:r>
        <w:t>Rozdział 5</w:t>
      </w:r>
    </w:p>
    <w:p>
      <w:pPr>
        <w:pStyle w:val="Heading2"/>
        <w:jc w:val="center"/>
      </w:pPr>
      <w:r>
        <w:t>Preferencja europejska</w:t>
      </w:r>
    </w:p>
    <w:p>
      <w:pPr>
        <w:pStyle w:val="Heading3"/>
        <w:jc w:val="center"/>
      </w:pPr>
      <w:r>
        <w:t>Artykuł 70</w:t>
      </w:r>
    </w:p>
    <w:p>
      <w:pPr>
        <w:pStyle w:val="Heading4"/>
        <w:jc w:val="center"/>
      </w:pPr>
      <w:r>
        <w:t>Wykonawcy, towary, usługi lub roboty budowlane objęte niniejszą Umową</w:t>
      </w:r>
    </w:p>
    <w:p>
      <w:r>
        <w:t>1. Do celów niniejszego rozporządzenia wykonawca uznaje się za „objęty zakresem stosowania niniejszego rozporządzenia”, jeżeli jego pochodzenie, zgodnie z art. 74 ust. 1, wynika z:</w:t>
      </w:r>
    </w:p>
    <w:p>
      <w:r>
        <w:t>a) państwo trzecie będące stroną GPA, pod warunkiem że dane zamówienie wchodzi w zakres zobowiązań Unii wynikających z tego porozumienia, z uwzględnieniem mających zastosowanie załączników;</w:t>
      </w:r>
    </w:p>
    <w:p>
      <w:r>
        <w:t>b) państwo trzecie, które zawarło dwustronną lub wielostronną umowę handlową z Unią, na warunkach określonych w tej umowie, pod warunkiem że dane zamówienie wchodzi w zakres zobowiązań Unii dotyczących zamówień publicznych zawartych w tej umowie;</w:t>
      </w:r>
    </w:p>
    <w:p>
      <w:r>
        <w:t>państwo trzecie, które zawarło z Unią umowę ustanawiającą unię celną, na warunkach określonych w tej umowie, pod warunkiem że dane zamówienie wchodzi w zakres zobowiązań Unii dotyczących zamówień publicznych zawartych w tej umowie.</w:t>
      </w:r>
    </w:p>
    <w:p>
      <w:r>
        <w:t>2. Towary, usługi lub roboty budowlane uważa się za „objęte” do celów niniejszego rozporządzenia, jeżeli pochodzą zgodnie z art. 74 ust. 2, 3 i 4 z:</w:t>
      </w:r>
    </w:p>
    <w:p>
      <w:r>
        <w:t>a) państwo trzecie będące stroną GPA, pod warunkiem że dane zamówienie wchodzi w zakres zobowiązań Unii wynikających z tego porozumienia, z uwzględnieniem mających zastosowanie załączników;</w:t>
      </w:r>
    </w:p>
    <w:p>
      <w:r>
        <w:t>b) państwo trzecie, które zawarło dwustronną lub wielostronną umowę handlową z Unią, na warunkach określonych w tej umowie, pod warunkiem że dane zamówienie wchodzi w zakres zobowiązań Unii dotyczących zamówień publicznych zawartych w tej umowie;</w:t>
      </w:r>
    </w:p>
    <w:p>
      <w:r>
        <w:t>państwo trzecie, które zawarło z Unią umowę ustanawiającą unię celną, na warunkach określonych w tej umowie, pod warunkiem że dane zamówienie wchodzi w zakres zobowiązań Unii dotyczących zamówień publicznych zawartych w tej umowie.</w:t>
      </w:r>
    </w:p>
    <w:p>
      <w:pPr>
        <w:pStyle w:val="Heading3"/>
        <w:jc w:val="center"/>
      </w:pPr>
      <w:r>
        <w:t>Artykuł 71</w:t>
      </w:r>
    </w:p>
    <w:p>
      <w:pPr>
        <w:pStyle w:val="Heading4"/>
        <w:jc w:val="center"/>
      </w:pPr>
      <w:r>
        <w:t>Określenie zakresu gwarancji dla wykonawców i towarów objętych gwarancją z państw trzecich usługi lub roboty budowlane</w:t>
      </w:r>
    </w:p>
    <w:p>
      <w:r>
        <w:t>1. Komisja ustanawia i bezpłatnie udostępnia publicznie dostępne narzędzie internetowe, które określa, w kompleksowy i aktualny sposób, zobowiązania Unii w zakresie zamówień publicznych w umowach międzynarodowych, o których mowa w art. 70.</w:t>
      </w:r>
    </w:p>
    <w:p>
      <w:r>
        <w:t>2. Nabywcy publiczni określają, do celów danego postępowania o udzielenie zamówienia, których wykonawców, towarów, usług i robót budowlanych dotyczy zgodnie z art. 70, na podstawie mających zastosowanie umów międzynarodowych odzwierciedlonych w narzędziu internetowym, o którym mowa w ust. 1, w odniesieniu do wprowadzonych parametrów, w tym danego nabywcy publicznego, przedmiotu i szacunkowej wartości zamówienia w odniesieniu do mających zastosowanie progów.</w:t>
      </w:r>
    </w:p>
    <w:p>
      <w:r>
        <w:t>3. Komisja stale aktualizuje to narzędzie internetowe, aby w pełni i w dowolnym momencie odzwierciedlić zobowiązania Unii w dziedzinie zamówień publicznych, w tym:</w:t>
      </w:r>
    </w:p>
    <w:p>
      <w:r>
        <w:t>a) Akty Unii, w szczególności decyzje Komisji o całkowitym lub częściowym wykluczeniu wykonawców, towarów, usług lub robót budowlanych z państwa trzeciego z postępowań o udzielenie zamówienia publicznego w Unii, zgodnie z mającym zastosowanie prawodawstwem UE;</w:t>
      </w:r>
    </w:p>
    <w:p>
      <w:r>
        <w:t>b) Środków unijnych w odniesieniu do wykonawców, towarów, usług lub robót budowlanych objętych niniejszą Umową, zgodnie z art. 72.</w:t>
      </w:r>
    </w:p>
    <w:p>
      <w:r>
        <w:t>c) Środków unijnych w odniesieniu do wykonawców, towarów, usług lub robót budowlanych nieobjętych zobowiązaniami, zgodnie z art. 75.</w:t>
      </w:r>
    </w:p>
    <w:p>
      <w:pPr>
        <w:pStyle w:val="Heading3"/>
        <w:jc w:val="center"/>
      </w:pPr>
      <w:r>
        <w:t>Artykuł 72</w:t>
      </w:r>
    </w:p>
    <w:p>
      <w:pPr>
        <w:pStyle w:val="Heading4"/>
        <w:jc w:val="center"/>
      </w:pPr>
      <w:r>
        <w:t>Ograniczenia dotyczące objętych niniejszą Umową wykonawców, towarów, usług lub robót budowlanych</w:t>
      </w:r>
    </w:p>
    <w:p>
      <w:r>
        <w:t>1. Komisja jest uprawniona do przyjmowania aktów delegowanych zgodnie z art. 141 w celu zmiany art. 70 poprzez ustanowienie, że nie uznaje się za objętych zakresem stosowania niniejszego rozporządzenia wykonawców z niektórych państw trzecich lub wszystkich lub niektórych towarów, usług lub robót budowlanych objętych zakresem stosowania niniejszego rozporządzenia z niektórych państw trzecich, jeżeli:</w:t>
      </w:r>
    </w:p>
    <w:p>
      <w:r>
        <w:t>a) Komisja ustaliła na podstawie faktycznej analizy dostępu do rynku, że ich kraj pochodzenia nie zapewnił traktowania narodowego w odniesieniu do unijnych wykonawców, towarów, usług lub robót budowlanych, co jest sprzeczne z jej zobowiązaniami w zakresie zamówień publicznych zawartymi w umowie międzynarodowej z Unią;</w:t>
      </w:r>
    </w:p>
    <w:p>
      <w:r>
        <w:t>b) takie wyłączenie jest uzasadnione w celu uniknięcia zależności lub wszelkich innych zmian, które mogą zagrozić bezpieczeństwu dostaw odnośnych towarów lub usług w Unii; lub</w:t>
      </w:r>
    </w:p>
    <w:p>
      <w:r>
        <w:t>ograniczenie takie jest uzasadnione na podstawie wszelkich innych wyjątków przewidzianych w mającej zastosowanie umowie, w szczególności dotyczących ochrony interesów bezpieczeństwa gospodarczego.</w:t>
      </w:r>
    </w:p>
    <w:p>
      <w:r>
        <w:t>2. Państwa członkowskie i zainteresowane strony mogą w dowolnym momencie przedłożyć Komisji informacje wskazujące na istnienie jednej z sytuacji, o których mowa w ust. 1.</w:t>
      </w:r>
    </w:p>
    <w:p>
      <w:pPr>
        <w:pStyle w:val="Heading3"/>
        <w:jc w:val="center"/>
      </w:pPr>
      <w:r>
        <w:t>Artykuł 73</w:t>
      </w:r>
    </w:p>
    <w:p>
      <w:pPr>
        <w:pStyle w:val="Heading4"/>
        <w:jc w:val="center"/>
      </w:pPr>
      <w:r>
        <w:t>Wymogi dotyczące preferencji europejskich</w:t>
      </w:r>
    </w:p>
    <w:p>
      <w:r>
        <w:t>1. Nabywcy publiczni mogą:</w:t>
      </w:r>
    </w:p>
    <w:p>
      <w:r>
        <w:t>a) ograniczenie uczestnictwa wyłącznie do wykonawców i podwykonawców pochodzących z Unii oraz tych, którzy są nim objęci, lub – w przypadku grup wykonawców lub wszelkich innych form wspólnego uczestnictwa – do grup, które składają się wyłącznie z wykonawców unijnych lub wykonawców objętych niniejszą Umową, albo do grup, w których większość, ale nie wszyscy członkowie grupy, to wykonawcy unijni lub wykonawcy objęci niniejszą Umową;</w:t>
      </w:r>
    </w:p>
    <w:p>
      <w:r>
        <w:t>b) odrzuca ofertę w trakcie postępowania, jeżeli nie została ona złożona przez wykonawcy lub grupy wykonawców, w tym ich podwykonawców, o których mowa w lit. a), lub jeżeli nie została ona złożona przez wykonawcy lub grupy wykonawców, o których mowa w lit. a).</w:t>
      </w:r>
    </w:p>
    <w:p>
      <w:r>
        <w:t>2. Nabywcy publiczni mogą wykonywać co najmniej jedną z następujących czynności:</w:t>
      </w:r>
    </w:p>
    <w:p>
      <w:r>
        <w:t>a) wymagają, aby oferowane towary, usługi i roboty budowlane pochodziły z Unii lub były towarami, usługami lub robotami budowlanymi objętymi zamówieniem, w całości albo w pewnym stopniu, lub w odniesieniu do konkretnych komponentów, które uczestniczą w stosunku konkurencji z zamówionymi towarami, usługami lub robotami budowlanymi;</w:t>
      </w:r>
    </w:p>
    <w:p>
      <w:r>
        <w:t>b) wyłącznie do celów oceny i klasyfikacji ofert na etapie udzielania zamówienia, bez wpływu na cenę należną z tytułu zamówienia, stosuje procentowe obniżenie ceny oferty lub przyznanie dodatkowych punktów za udzielenie zamówienia, w przypadku gdy:</w:t>
      </w:r>
    </w:p>
    <w:p>
      <w:r>
        <w:t>i) oferta jest składana wyłącznie przez wykonawców unijnych lub wykonawców i podwykonawców objętych niniejszą Umową lub, w przypadku grup wykonawców lub jakiejkolwiek innej formy wspólnego udziału, przez grupy składające się wyłącznie z takich wykonawców lub przez grupy, w których większość, ale nie wszyscy członkowie grupy są wykonawcami unijnymi lub objętymi niniejszą Umową; lub</w:t>
      </w:r>
    </w:p>
    <w:p>
      <w:r>
        <w:t>ii) oferta zawiera większy udział towarów, usług lub robót budowlanych z Unii lub objętych zobowiązaniami w porównaniu z innymi złożonymi ofertami;</w:t>
      </w:r>
    </w:p>
    <w:p>
      <w:r>
        <w:t>c) odrzuca ofertę, w której wartość unijnych lub objętych nią towarów, usług lub robót budowlanych zawartych w ofercie jest niższa niż 50 % całkowitej szacunkowej wartości oferty.</w:t>
      </w:r>
    </w:p>
    <w:p>
      <w:r>
        <w:t>3. Środki, o których mowa w ust. 2, mogą być stosowane wyłącznie wtedy, gdy zostały wyraźnie wskazane przez nabywcę publicznego w publicznym podsumowaniu dotyczącym konkurencji. W publicznym podsumowaniu dotyczącym konkurencji określa się towary, usługi lub roboty budowlane, które muszą być pochodzenia unijnego lub objętego zamówieniem, a także wartość procentową zmniejszenia lub przyznania punktów, wraz z odpowiednią wartością, którą nabywca publiczny zastosuje do oceny i klasyfikacji ofert na etapie udzielania zamówienia.</w:t>
      </w:r>
    </w:p>
    <w:p>
      <w:r>
        <w:t>4. Nabywcy publiczni powiadamiają krajowy organ koordynujący wyznaczony na podstawie art. 138 o wszelkich przesłankach wskazujących na obchodzenie środków wprowadzonych na podstawie niniejszego artykułu. Krajowy organ koordynujący informuje Komisję o wszelkich wadach systemowych stwierdzonych na podstawie tych powiadomień.</w:t>
      </w:r>
    </w:p>
    <w:p>
      <w:pPr>
        <w:pStyle w:val="Heading3"/>
        <w:jc w:val="center"/>
      </w:pPr>
      <w:r>
        <w:t>Artykuł 74</w:t>
      </w:r>
    </w:p>
    <w:p>
      <w:pPr>
        <w:pStyle w:val="Heading4"/>
        <w:jc w:val="center"/>
      </w:pPr>
      <w:r>
        <w:t>Pochodzenie</w:t>
      </w:r>
    </w:p>
    <w:p>
      <w:r>
        <w:t>1. Pochodzenie wykonawców lub podwykonawców określa się zgodnie z art. 3 ust. 1 rozporządzenia (UE) 2022/1031[55].</w:t>
      </w:r>
    </w:p>
    <w:p>
      <w:r>
        <w:t>2. Pochodzenie towarów określa się zgodnie z tytułem II rozdział 2 sekcja 1 rozporządzenia (UE) nr 952/2013[56].</w:t>
      </w:r>
    </w:p>
    <w:p>
      <w:r>
        <w:t>3. Pochodzenie usług ustala się na podstawie pochodzenia wykonawcy lub podwykonawcy świadczącego usługę.</w:t>
      </w:r>
    </w:p>
    <w:p>
      <w:r>
        <w:t>4. Ogólne pochodzenie robót budowlanych ustala się na podstawie pochodzenia wykonawcy lub podwykonawcy, którzy je dostarczyli. W przypadku wymogów dotyczących preferencji europejskiej nabywcy mogą określić oddzielnie pochodzenie towarów wykorzystywanych jako część robót budowlanych zgodnie z ust. 2.</w:t>
      </w:r>
    </w:p>
    <w:p>
      <w:r>
        <w:rPr>
          <w:sz w:val="16"/>
        </w:rPr>
        <w:t>55 Rozporządzenie Parlamentu Europejskiego i Rady (UE) 2022/1031 z dnia 23 czerwca 2022 r. w sprawie dostępu wykonawców, towarów i usług z państw trzecich do unijnych rynków zamówień publicznych i koncesji oraz procedur wspierających negocjacje dotyczące dostępu unijnych wykonawców, towarów i usług do rynków zamówień publicznych i koncesji państw trzecich (Instrument Zamówień Międzynarodowych – IZM) (Dz.U. L 173 z 30.6.2022, s. 1, ELI: http://data.europa.eu/eli/reg/2022/1031/oj).</w:t>
      </w:r>
    </w:p>
    <w:p>
      <w:r>
        <w:rPr>
          <w:sz w:val="16"/>
        </w:rPr>
        <w:t>56 Rozporządzenie Parlamentu Europejskiego i Rady (UE) nr 952/2013 z dnia 9 października 2013 r. ustanawiające unijny kodeks celny (wersja przekształcona) (Dz.U. L 269 z 10.10.2013, s. 1, ELI: http://data.europa.eu/eli/reg/2013/952/oj).</w:t>
      </w:r>
    </w:p>
    <w:p>
      <w:pPr>
        <w:pStyle w:val="Heading3"/>
        <w:jc w:val="center"/>
      </w:pPr>
      <w:r>
        <w:t>Artykuł 75</w:t>
      </w:r>
    </w:p>
    <w:p>
      <w:pPr>
        <w:pStyle w:val="Heading4"/>
        <w:jc w:val="center"/>
      </w:pPr>
      <w:r>
        <w:t>Unijne ograniczenia dotyczące nieobjętych wykonawców, towarów, usług i robót budowlanych z państw trzecich</w:t>
      </w:r>
    </w:p>
    <w:p>
      <w:r>
        <w:t>Komisja jest uprawniona do przyjmowania aktów delegowanych zgodnie z art. 141 w celu zmiany art. 73, aby zobowiązać nabywców publicznych do stosowania któregokolwiek z wymogów dotyczących preferencji europejskiej określonych w art. 73 w odniesieniu do wykonawców i podwykonawców, towarów, usług i robót budowlanych nieobjętych art. 70, jeżeli leży to w interesie Unii.</w:t>
      </w:r>
    </w:p>
    <w:p>
      <w:pPr>
        <w:pStyle w:val="Heading3"/>
        <w:jc w:val="center"/>
      </w:pPr>
      <w:r>
        <w:t>Artykuł 76</w:t>
      </w:r>
    </w:p>
    <w:p>
      <w:pPr>
        <w:pStyle w:val="Heading4"/>
        <w:jc w:val="center"/>
      </w:pPr>
      <w:r>
        <w:t>Wyjątki</w:t>
      </w:r>
    </w:p>
    <w:p>
      <w:r>
        <w:t>Nabywcy publiczni mogą podjąć decyzję o niestosowaniu wymogów dotyczących preferencji europejskiej, w tym wymogów określonych w aktach delegowanych przyjętych na podstawie art. 75, w przypadku gdy:</w:t>
      </w:r>
    </w:p>
    <w:p>
      <w:r>
        <w:t>a) przedmiotowe umowy podlegają przepisom art. 48;</w:t>
      </w:r>
    </w:p>
    <w:p>
      <w:r>
        <w:t>b) wymagane produkty lub usługi nie mogą zostać dostarczone przez unijny wykonawca lub wykonawca objęty niniejszą Umową oraz nie istnieje rozsądne rozwiązanie alternatywne lub zastępcze;</w:t>
      </w:r>
    </w:p>
    <w:p>
      <w:r>
        <w:t>c) nie złożono odpowiednich ofert ani wniosków o dopuszczenie do udziału, w tym w odpowiedzi na podobne postępowanie o udzielenie zamówienia publicznego wszczęte przez tego samego nabywcę publicznego w ciągu dwóch lat poprzedzających rozpoczęcie planowanego nowego postępowania o udzielenie zamówienia; lub</w:t>
      </w:r>
    </w:p>
    <w:p>
      <w:r>
        <w:t>stosowanie takich wymogów dotyczących preferencji europejskiej oznaczałoby, że nabywca publiczny musiałby nabyć towary, usługi lub roboty budowlane po nieproporcjonalnych kosztach.</w:t>
      </w:r>
    </w:p>
    <w:p>
      <w:pPr>
        <w:pStyle w:val="Heading3"/>
        <w:jc w:val="center"/>
      </w:pPr>
      <w:r>
        <w:t>Artykuł 77</w:t>
      </w:r>
    </w:p>
    <w:p>
      <w:pPr>
        <w:pStyle w:val="Heading4"/>
        <w:jc w:val="center"/>
      </w:pPr>
      <w:r>
        <w:t>Preferencja europejska w sektorowym prawodawstwie Unii</w:t>
      </w:r>
    </w:p>
    <w:p>
      <w:r>
        <w:t>W przypadku gdy prawodawstwo Unii zawiera przepisy ograniczające lub określające warunki udziału w postępowaniach o udzielenie zamówienia publicznego lub przyznające preferencje w zależności od pochodzenia wykonawców, towarów, usług lub robót budowlanych, zastosowanie mają zasady określone w niniejszym rozdziale, chyba że dane prawodawstwo Unii stanowi inaczej.</w:t>
      </w:r>
    </w:p>
    <w:p>
      <w:pPr>
        <w:pStyle w:val="Heading2"/>
        <w:jc w:val="center"/>
      </w:pPr>
      <w:r>
        <w:t>Tytuł III</w:t>
      </w:r>
    </w:p>
    <w:p>
      <w:pPr>
        <w:pStyle w:val="Heading2"/>
        <w:jc w:val="center"/>
      </w:pPr>
      <w:r>
        <w:t>Postanowienia horyzontalne</w:t>
      </w:r>
    </w:p>
    <w:p>
      <w:pPr>
        <w:pStyle w:val="Heading2"/>
        <w:jc w:val="center"/>
      </w:pPr>
      <w:r>
        <w:t>Rozdział 1</w:t>
      </w:r>
    </w:p>
    <w:p>
      <w:pPr>
        <w:pStyle w:val="Heading2"/>
        <w:jc w:val="center"/>
      </w:pPr>
      <w:r>
        <w:t>Zamówienia wyłączone i mieszane</w:t>
      </w:r>
    </w:p>
    <w:p>
      <w:pPr>
        <w:pStyle w:val="Heading3"/>
        <w:jc w:val="center"/>
      </w:pPr>
      <w:r>
        <w:t>Artykuł 78</w:t>
      </w:r>
    </w:p>
    <w:p>
      <w:pPr>
        <w:pStyle w:val="Heading4"/>
        <w:jc w:val="center"/>
      </w:pPr>
      <w:r>
        <w:t>Zamówienia w dziedzinie obronności i bezpieczeństwa</w:t>
      </w:r>
    </w:p>
    <w:p>
      <w:r>
        <w:t>1. Niniejsze rozporządzenie nie ma zastosowania do zamówień publicznych, których przedmiot wchodzi w zakres dyrektywy 2009/81/WE, w tym zamówień o wartości poniżej progu określonego w art. 8 tej dyrektywy oraz zamówień, do których dyrektywa ta nie ma zastosowania zgodnie z jej art. 12 lub 13.</w:t>
      </w:r>
    </w:p>
    <w:p>
      <w:r>
        <w:t>2. Niniejsze rozporządzenie nie ma zastosowania do zamówień publicznych niewyłączonych zgodnie z ust. 1 w zakresie, w jakim ochrony podstawowych interesów państwa członkowskiego w zakresie bezpieczeństwa nie można zagwarantować za pomocą mniej inwazyjnych środków, w szczególności środków określonych w tytule II rozdział 4 niniejszej części lub wymogów mających na celu ochronę poufnego charakteru informacji, które nabywca publiczny udostępnia w ramach procedury udzielania zamówienia przewidzianej w niniejszym rozporządzeniu.</w:t>
      </w:r>
    </w:p>
    <w:p>
      <w:r>
        <w:t>3. Ponadto zgodnie z art. 346 ust. 1 lit. a) Traktatu niniejsze rozporządzenie nie ma zastosowania do zamówień publicznych, które nie są w inny sposób wyłączone na podstawie ust. 1 niniejszego artykułu, w zakresie, w jakim stosowanie niniejszego rozporządzenia zobowiązywałoby państwo członkowskie do dostarczania informacji, których ujawnienie państwo to uznaje za sprzeczne z jego podstawowymi interesami bezpieczeństwa.</w:t>
      </w:r>
    </w:p>
    <w:p>
      <w:r>
        <w:t>4. W przypadku gdy zamówienie i realizacja zamówienia publicznego są określone jako tajne lub muszą im towarzyszyć szczególne środki bezpieczeństwa zgodnie z przepisami ustawowymi, wykonawczymi lub administracyjnymi obowiązującymi w danym państwie członkowskim, niniejsze rozporządzenie nie ma zastosowania, pod warunkiem że dane państwo członkowskie ustaliło, że odnośnych podstawowych interesów bezpieczeństwa nie można zagwarantować za pomocą mniej inwazyjnych środków, takich jak środki, o których mowa w ust. 2.</w:t>
      </w:r>
    </w:p>
    <w:p>
      <w:pPr>
        <w:pStyle w:val="Heading3"/>
        <w:jc w:val="center"/>
      </w:pPr>
      <w:r>
        <w:t>Artykuł 79</w:t>
      </w:r>
    </w:p>
    <w:p>
      <w:pPr>
        <w:pStyle w:val="Heading4"/>
        <w:jc w:val="center"/>
      </w:pPr>
      <w:r>
        <w:t>Z wyłączeniem zamówień na badania i rozwój</w:t>
      </w:r>
    </w:p>
    <w:p>
      <w:r>
        <w:t>Niniejsze rozporządzenie nie ma zastosowania do zamówień publicznych obejmujących wyłącznie usługi badawczo-rozwojowe zdefiniowane w art. 6 pkt 16.</w:t>
      </w:r>
    </w:p>
    <w:p>
      <w:r>
        <w:t>Zdanie pierwsze nie ma zastosowania do zamówień publicznych zawierających, oprócz usług badawczo-rozwojowych zdefiniowanych w art. 6 pkt 16, inne elementy objęte zakresem stosowania niniejszego rozporządzenia, w szczególności gdy testowanie i walidacja są częścią procedury innowacyjnej zgodnie z tytułem I rozdział 4 niniejszej części lub gdy badania i rozwój są zintegrowane jako technika innowacyjna w zamówieniach publicznych objętych zakresem stosowania niniejszego rozporządzenia zgodnie z art. 61.</w:t>
      </w:r>
    </w:p>
    <w:p>
      <w:pPr>
        <w:pStyle w:val="Heading3"/>
        <w:jc w:val="center"/>
      </w:pPr>
      <w:r>
        <w:t>Artykuł 80</w:t>
      </w:r>
    </w:p>
    <w:p>
      <w:pPr>
        <w:pStyle w:val="Heading4"/>
        <w:jc w:val="center"/>
      </w:pPr>
      <w:r>
        <w:t>Zamówienia udzielane podmiotom kontrolowanym</w:t>
      </w:r>
    </w:p>
    <w:p>
      <w:r>
        <w:t>1. Niniejsze rozporządzenie nie ma zastosowania do zamówień publicznych udzielanych przez nabywców publicznych osobie prawnej prawa prywatnego lub publicznego, o ile w momencie udzielenia zamówienia spełnione są wszystkie następujące warunki:</w:t>
      </w:r>
    </w:p>
    <w:p>
      <w:r>
        <w:t>a) nabywca publiczny sprawuje nad daną osobą prawną kontrolę podobną do kontroli, jaką sprawuje nad własnymi służbami, co oznacza, że wywiera decydujący wpływ zarówno na cele strategiczne, jak i na istotne decyzje kontrolowanej osoby prawnej; kontrolę taką może sprawować również inna osoba prawna, która sama jest kontrolowana w ten sam sposób przez nabywcę publicznego;</w:t>
      </w:r>
    </w:p>
    <w:p>
      <w:r>
        <w:t>b) ponad 80 % działalności kontrolowanej osoby prawnej jest prowadzone w ramach wykonywania zadań powierzonych jej przez nabywcę publicznego sprawującego kontrolę lub przez inne osoby prawne kontrolowane przez tego nabywcę publicznego; oraz</w:t>
      </w:r>
    </w:p>
    <w:p>
      <w:r>
        <w:t>w kontrolowanej osobie prawnej nie ma bezpośredniego udziału kapitału prywatnego, z wyjątkiem form udziału kapitału prywatnego o charakterze niekontrolującym i nieblokującym wymaganych na mocy krajowych przepisów ustawowych, zgodnie z Traktatami, które nie wywierają decydującego wpływu na kontrolowaną osobę prawną.</w:t>
      </w:r>
    </w:p>
    <w:p>
      <w:r>
        <w:t>2. Ust. 1 ma również zastosowanie w przypadku, gdy kontrolowana osoba prawna będąca nabywcą publicznym udziela zamówienia nabywcy publicznemu sprawującemu nad nią kontrolę lub innej osobie prawnej kontrolowanej przez tego samego nabywcę publicznego, pod warunkiem że w osobie prawnej, której udziela się zamówienia publicznego, nie ma bezpośredniego udziału kapitału prywatnego.</w:t>
      </w:r>
    </w:p>
    <w:p>
      <w:r>
        <w:t>3. Niniejsze rozporządzenie nie ma zastosowania w przypadku, gdy nabywca publiczny, który nie sprawuje nad osobą prawną podlegającą kontroli prawa prywatnego lub publicznego w rozumieniu ust. 1, udziela tej osobie prawnej zamówienia publicznego, jeżeli w momencie udzielenia zamówienia spełnione są wszystkie następujące warunki:</w:t>
      </w:r>
    </w:p>
    <w:p>
      <w:r>
        <w:t>a) nabywca publiczny sprawuje wspólnie z innymi nabywcami publicznymi kontrolę nad tą osobą prawną podobną do kontroli, jaką sprawuje nad własnymi służbami, co oznacza:</w:t>
      </w:r>
    </w:p>
    <w:p>
      <w:r>
        <w:t>i) w skład organów decyzyjnych kontrolowanej osoby prawnej wchodzą przedstawiciele wszystkich uczestniczących nabywców publicznych, natomiast poszczególni przedstawiciele mogą reprezentować kilku lub wszystkich uczestniczących nabywców publicznych;</w:t>
      </w:r>
    </w:p>
    <w:p>
      <w:r>
        <w:t>ii) ci nabywcy publiczni są w stanie wspólnie wywierać decydujący wpływ na cele strategiczne i istotne decyzje kontrolowanej osoby prawnej;</w:t>
      </w:r>
    </w:p>
    <w:p>
      <w:r>
        <w:t>kontrolowana osoba prawna nie działa w interesie sprzecznym z interesami nabywców publicznych sprawujących kontrolę;</w:t>
      </w:r>
    </w:p>
    <w:p>
      <w:r>
        <w:t>b) ponad 80 % działalności tej osoby prawnej jest prowadzone w ramach wykonywania zadań powierzonych jej przez nabywców publicznych sprawujących kontrolę lub przez inne osoby prawne kontrolowane przez tych samych nabywców publicznych; oraz</w:t>
      </w:r>
    </w:p>
    <w:p>
      <w:r>
        <w:t>w kontrolowanej osobie prawnej nie ma bezpośredniego udziału kapitału prywatnego, z wyjątkiem form udziału kapitału prywatnego o charakterze niekontrolującym i nieblokującym wymaganych na mocy krajowych przepisów ustawowych, zgodnie z Traktatami, które nie wywierają decydującego wpływu na kontrolowaną osobę prawną.</w:t>
      </w:r>
    </w:p>
    <w:p>
      <w:r>
        <w:t>4. W odniesieniu do odsetka działalności, o którym mowa w ust. 1 akapit pierwszy lit. b) i ust. 3 akapit pierwszy lit. b), uwzględnia się średni całkowity obrót lub, w przypadku gdy obrót nie odzwierciedla odpowiednio skali prowadzonej działalności, inny obiektywny i weryfikowalny wskaźnik ilościowy tej działalności, taki jak poniesione koszty lub całkowity uzyskany dochód, za trzy lata poprzedzające udzielenie zamówienia.</w:t>
      </w:r>
    </w:p>
    <w:p>
      <w:r>
        <w:t>W przypadku gdy ze względu na datę utworzenia odpowiedniej osoby prawnej lub nabywcy publicznego lub rozpoczęcia przez nich działalności lub ze względu na reorganizację ich działalności dane dotyczące obrotu lub alternatywne środki oparte na działalności, takie jak koszty, nie są dostępne za poprzednie trzy lata albo nie są już istotne, wystarczy wykazać, że pomiar działalności jest wiarygodny, w szczególności za pomocą prognoz biznesowych.</w:t>
      </w:r>
    </w:p>
    <w:p>
      <w:r>
        <w:t>5. Państwa członkowskie mogą utrzymać lub przyjąć bardziej rygorystyczne przepisy krajowe dotyczące zamówień wyłączonych na podstawie niniejszego artykułu.</w:t>
      </w:r>
    </w:p>
    <w:p>
      <w:r>
        <w:t>6. Wyłączenia przewidziane w niniejszym artykule nie mają zastosowania, jeżeli zamówienie publiczne jest w całości zlecane podwykonawcom bez przeprowadzania postępowania o udzielenie zamówienia.</w:t>
      </w:r>
    </w:p>
    <w:p>
      <w:pPr>
        <w:pStyle w:val="Heading3"/>
        <w:jc w:val="center"/>
      </w:pPr>
      <w:r>
        <w:t>Artykuł 81</w:t>
      </w:r>
    </w:p>
    <w:p>
      <w:pPr>
        <w:pStyle w:val="Heading4"/>
        <w:jc w:val="center"/>
      </w:pPr>
      <w:r>
        <w:t>Współpraca publiczno-publiczna</w:t>
      </w:r>
    </w:p>
    <w:p>
      <w:r>
        <w:t>1. Niniejsze rozporządzenie nie ma zastosowania do zamówień udzielanych wyłącznie między co najmniej dwiema instytucjami zamawiającymi, w tym w przypadku gdy prowadzą one działalność zgodnie z art. 12–18, pod warunkiem że w momencie udzielenia zamówienia:</w:t>
      </w:r>
    </w:p>
    <w:p>
      <w:r>
        <w:t>a) zamówienie udzielone w wyniku postępowania ustanawia lub wdraża współpracę między uczestniczącymi instytucjami zamawiającymi w celu zapewnienia, aby usługi publiczne, które muszą one świadczyć, były świadczone z myślą o osiągnięciu celów, które im wspólnie przyświecają;</w:t>
      </w:r>
    </w:p>
    <w:p>
      <w:r>
        <w:t>b) realizacja takiej współpracy podlega wyłącznie względom związanym z interesem publicznym;</w:t>
      </w:r>
    </w:p>
    <w:p>
      <w:r>
        <w:t>uczestniczące instytucje zamawiające wykonują na otwartym rynku mniej niż 20 % działalności będącej przedmiotem współpracy.</w:t>
      </w:r>
    </w:p>
    <w:p>
      <w:r>
        <w:t>2. Współpraca na podstawie ust. 1 lit. a) może obejmować wszystkie rodzaje działalności w dowolnej formie prawnej lub tymczasowej strukturze lub porozumieniu, ale wymaga rzeczywistej współpracy wszystkich stron poprzez rzeczywisty wkład, który może być identyczny lub uzupełniający lub różny pod względem wielkości lub charakteru, ale nie może ograniczać się do podziału kosztów.</w:t>
      </w:r>
    </w:p>
    <w:p>
      <w:r>
        <w:t>3. Art. 80 ust. 4 ma zastosowanie do odsetka działalności, o którym mowa w ust. 1 lit. c) niniejszego artykułu.</w:t>
      </w:r>
    </w:p>
    <w:p>
      <w:r>
        <w:t>4. Wyłączenie przewidziane w niniejszym artykule nie ma zastosowania, jeżeli rozwiązania zapewniane na podstawie zamówienia udzielonego w wyniku postępowania są w całości zlecane podwykonawcom bez przeprowadzania postępowania o udzielenie zamówienia.</w:t>
      </w:r>
    </w:p>
    <w:p>
      <w:pPr>
        <w:pStyle w:val="Heading3"/>
        <w:jc w:val="center"/>
      </w:pPr>
      <w:r>
        <w:t>Artykuł 82</w:t>
      </w:r>
    </w:p>
    <w:p>
      <w:pPr>
        <w:pStyle w:val="Heading4"/>
        <w:jc w:val="center"/>
      </w:pPr>
      <w:r>
        <w:t>Lokalna i regionalna współpraca administracyjna</w:t>
      </w:r>
    </w:p>
    <w:p>
      <w:r>
        <w:t>1. Niniejsze rozporządzenie nie ma zastosowania w przypadku, gdy władze regionalne lub lokalne powierzają sobie wzajemnie wykonywanie zadań, które na nich spoczywają, lub wykorzystują w tym celu zasoby własne drugiej strony, w tym wyłącznie w zamian za wynagrodzenie, pod warunkiem że wykonują zadania z zasobów własnych. Do celów niniejszego artykułu zasoby własne nie obejmują towarów jeszcze nienabytych ani usług świadczonych na rzecz jednej z uczestniczących władz lokalnych lub regionalnych przez wykonawcy lub osoby prawne, którym powierzono zadania zgodnie z art. 80 ust. 1, 2 i 3.</w:t>
      </w:r>
    </w:p>
    <w:p>
      <w:r>
        <w:t>2. Do celów niniejszego artykułu „władze regionalne” obejmują organy wymienione w sposób niewyczerpujący w NUTS 1 i NUTS 2, o których mowa w rozporządzeniu (WE) nr 1059/2003[57], natomiast „władze lokalne” obejmują wszystkie organy jednostek administracyjnych poziomu NUTS 3 i mniejszych jednostek administracyjnych, o których mowa w tym rozporządzeniu.</w:t>
      </w:r>
    </w:p>
    <w:p>
      <w:r>
        <w:rPr>
          <w:sz w:val="16"/>
        </w:rPr>
        <w:t>57 Rozporządzenie (WE) nr 1059/2003 Parlamentu Europejskiego i Rady z dnia 26 maja 2003 r. w sprawie ustalenia wspólnej klasyfikacji jednostek terytorialnych do celów statystycznych (NUTS) (Dz.U. L 154 z 21.6.2003, s. 1), ELI: http://data.europa.eu/eli/reg/2003/1059/oj).</w:t>
      </w:r>
    </w:p>
    <w:p>
      <w:pPr>
        <w:pStyle w:val="Heading3"/>
        <w:jc w:val="center"/>
      </w:pPr>
      <w:r>
        <w:t>Artykuł 83</w:t>
      </w:r>
    </w:p>
    <w:p>
      <w:pPr>
        <w:pStyle w:val="Heading4"/>
        <w:jc w:val="center"/>
      </w:pPr>
      <w:r>
        <w:t>Zamówienia udzielane przedsiębiorstwom powiązanym</w:t>
      </w:r>
    </w:p>
    <w:p>
      <w:r>
        <w:t>1. Niniejsze rozporządzenie nie ma zastosowania w przypadku, gdy podmioty zamawiające udzielają zamówienia publicznego przez jeden z następujących podmiotów:</w:t>
      </w:r>
    </w:p>
    <w:p>
      <w:r>
        <w:t>przez podmiot zamawiający przedsiębiorstwu powiązanemu;</w:t>
      </w:r>
    </w:p>
    <w:p>
      <w:r>
        <w:t>przez wspólne przedsięwzięcie, utworzone wyłącznie przez kilka podmiotów zamawiających w celu prowadzenia działalności określonej w art. 12–18, na rzecz przedsiębiorstwa powiązanego z jednym z tych podmiotów zamawiających.</w:t>
      </w:r>
    </w:p>
    <w:p>
      <w:r>
        <w:t>2. Ust. 1 stosuje się, pod warunkiem że co najmniej 80 % średnich całkowitych obrotów przedsiębiorstwa powiązanego w poprzednich trzech latach pochodzi ze świadczenia usług, realizacji dostaw lub robót budowlanych na rzecz podmiotu zamawiającego lub innych przedsiębiorstw, z którymi jest ono powiązane. Jeżeli z powodu daty utworzenia przedsiębiorstwa powiązanego lub rozpoczęcia przez nie działalności nie są dostępne obroty za poprzednie trzy lata, wystarczy, że przedsiębiorstwo wykaże, że obroty te są wiarygodne, w szczególności za pomocą prognoz handlowych.</w:t>
      </w:r>
    </w:p>
    <w:p>
      <w:r>
        <w:t>W przypadku gdy więcej niż jedno przedsiębiorstwo powiązane z podmiotem zamawiającym, z którym tworzą grupę przedsiębiorstw, świadczy takie same lub podobne usługi, realizuje takie same lub podobne dostawy lub roboty budowlane, wartości procentowe oblicza się z uwzględnieniem całkowitego obrotu pochodzącego odpowiednio z realizacji usług, dostaw lub robót budowlanych przez te przedsiębiorstwa powiązane.</w:t>
      </w:r>
    </w:p>
    <w:p>
      <w:r>
        <w:t>3. Do celów niniejszego artykułu „przedsiębiorstwo powiązane” oznacza każde przedsiębiorstwo, które spełnia jeden z następujących wymogów:</w:t>
      </w:r>
    </w:p>
    <w:p>
      <w:r>
        <w:t>a) którego roczne sprawozdanie finansowe jest skonsolidowane ze sprawozdaniem podmiotu zamawiającego zgodnie z wymogami określonymi w dyrektywie 2013/34/UE[58];</w:t>
      </w:r>
    </w:p>
    <w:p>
      <w:r>
        <w:t>b) w przypadku podmiotów, które nie podlegają dyrektywie 2013/34/UE – wszelkie jednostki, które spełniają jeden z następujących warunków:</w:t>
      </w:r>
    </w:p>
    <w:p>
      <w:r>
        <w:t>i) bezpośrednio lub pośrednio podlegają dominującemu wpływowi podmiotu zamawiającego;</w:t>
      </w:r>
    </w:p>
    <w:p>
      <w:r>
        <w:t>ii) wywierają dominujący wpływ na podmiot zamawiający;</w:t>
      </w:r>
    </w:p>
    <w:p>
      <w:r>
        <w:t>wraz z podmiotem zamawiającym podlegają dominującemu wpływowi innego przedsiębiorstwa z tytułu własności, udziału finansowego lub zasad, które nim rządzą.</w:t>
      </w:r>
    </w:p>
    <w:p>
      <w:r>
        <w:t>4. Do celów niniejszego artykułu „dominujący wpływ” ma takie samo znaczenie jak to określone w art. 8 ust. 2.</w:t>
      </w:r>
    </w:p>
    <w:p>
      <w:r>
        <w:t>Komisja może zażądać dowodów potwierdzających, że stosunek między przedsiębiorstwem, któremu udziela się zamówienia, a podmiotem zamawiającym spełnia wymogi określone w ust. 1, 2 i 3.</w:t>
      </w:r>
    </w:p>
    <w:p>
      <w:r>
        <w:rPr>
          <w:sz w:val="16"/>
        </w:rPr>
        <w:t>58 Dyrektywa Parlamentu Europejskiego i Rady 2013/34/UE z dnia 26 czerwca 2013 r. w sprawie rocznych sprawozdań finansowych, skonsolidowanych sprawozdań finansowych i powiązanych sprawozdań niektórych rodzajów jednostek, zmieniająca dyrektywę Parlamentu Europejskiego i Rady 2006/43/WE oraz uchylająca dyrektywy Rady 78/660/EWG i 83/349/EWG (Dz.U. L 182 z 29.6.2013, s. 19, ELI: http://data.europa.eu/eli/dir/2013/34/oj).</w:t>
      </w:r>
    </w:p>
    <w:p>
      <w:pPr>
        <w:pStyle w:val="Heading3"/>
        <w:jc w:val="center"/>
      </w:pPr>
      <w:r>
        <w:t>Artykuł 84</w:t>
      </w:r>
    </w:p>
    <w:p>
      <w:pPr>
        <w:pStyle w:val="Heading4"/>
        <w:jc w:val="center"/>
      </w:pPr>
      <w:r>
        <w:t>Zamówienia udzielane we wspólnym przedsięwzięciu</w:t>
      </w:r>
    </w:p>
    <w:p>
      <w:r>
        <w:t>1. Niniejsze rozporządzenie nie ma zastosowania do zamówień publicznych udzielanych przez:</w:t>
      </w:r>
    </w:p>
    <w:p>
      <w:r>
        <w:t>spółkę joint venture utworzoną wyłącznie przez kilka podmiotów zamawiających w celu prowadzenia działalności określonej w art. 12–18 na rzecz jednego z tych podmiotów zamawiających, pod warunkiem że spółka joint venture została utworzona w celu prowadzenia danej działalności przez okres co najmniej trzech lat oraz że instrument powołujący spółkę joint venture przewiduje, że podmioty zamawiające, które ją tworzą, będą jej częścią przez co najmniej ten sam okres;</w:t>
      </w:r>
    </w:p>
    <w:p>
      <w:r>
        <w:t>b) podmiot zamawiający, który wchodzi w skład wspólnego przedsięwzięcia, o którym mowa w lit. a), na rzecz tego wspólnego przedsięwzięcia.</w:t>
      </w:r>
    </w:p>
    <w:p>
      <w:r>
        <w:t>2. Komisja może zażądać dowodów potwierdzających, że związek między wspólnym przedsięwzięciem, któremu udziela się zamówień, a podmiotem zamawiającym spełnia wymogi określone w ust. 1.</w:t>
      </w:r>
    </w:p>
    <w:p>
      <w:pPr>
        <w:pStyle w:val="Heading3"/>
        <w:jc w:val="center"/>
      </w:pPr>
      <w:r>
        <w:t>Artykuł 85</w:t>
      </w:r>
    </w:p>
    <w:p>
      <w:pPr>
        <w:pStyle w:val="Heading4"/>
        <w:jc w:val="center"/>
      </w:pPr>
      <w:r>
        <w:t>Inne wyłączone zamówienia publiczne</w:t>
      </w:r>
    </w:p>
    <w:p>
      <w:r>
        <w:t>1. Niniejsze rozporządzenie nie ma zastosowania do:</w:t>
      </w:r>
    </w:p>
    <w:p>
      <w:r>
        <w:t>zamówień publicznych na usługi udzielanych przez nabywcę publicznego innemu nabywcy publicznemu lub stowarzyszeniu nabywców publicznych na podstawie prawa wyłącznego, które przysługuje im na mocy przepisów ustawowych, wykonawczych lub opublikowanych przepisów administracyjnych zgodnych z Traktatem;</w:t>
      </w:r>
    </w:p>
    <w:p>
      <w:r>
        <w:t>zamówień publicznych, których głównym celem jest umożliwienie nabywcom publicznym dostarczania lub eksploatacji publicznych sieci łączności elektronicznej lub świadczenia społeczeństwu co najmniej jednej usługi łączności elektronicznej; do celów niniejszego artykułu „publiczna sieć łączności elektronicznej” i „usługa łączności elektronicznej” mają takie samo znaczenie jak w dyrektywie 2018/1972[59];</w:t>
      </w:r>
    </w:p>
    <w:p>
      <w:r>
        <w:t>zamówienia publiczne, które muszą być organizowane zgodnie z procedurami udzielania zamówień innymi niż określone w niniejszym rozporządzeniu, jeżeli takie procedury zostały ustanowione:</w:t>
      </w:r>
    </w:p>
    <w:p>
      <w:r>
        <w:t>na mocy umowy międzynarodowej zgodnie z Traktatami i dotyczą wspólnej realizacji projektu, która wymaga wspólnych zakupów;</w:t>
      </w:r>
    </w:p>
    <w:p>
      <w:r>
        <w:t>ii) przez organizację międzynarodową, lub</w:t>
      </w:r>
    </w:p>
    <w:p>
      <w:r>
        <w:t>przez międzynarodową instytucję finansową w pełni finansującą dany projekt; w przypadku gdy dany projekt jest współfinansowany w przeważającej części przez taką instytucję, strony uzgadniają, które zasady udzielania zamówień mają zastosowanie;</w:t>
      </w:r>
    </w:p>
    <w:p>
      <w:r>
        <w:t>nabycia lub najmu, za pomocą dowolnych środków finansowych, gruntu, istniejących budynków lub innych nieruchomości lub praw do nich;</w:t>
      </w:r>
    </w:p>
    <w:p>
      <w:r>
        <w:t>e) nabywanie, opracowywanie, produkcja lub koprodukcja materiałów programowych przeznaczonych na potrzeby usług medialnych w rozumieniu rozporządzenia (UE) 2024/1083[60];</w:t>
      </w:r>
    </w:p>
    <w:p>
      <w:r>
        <w:t>f) usługi prawne, które wymagają upoważnienia do wykonywania zawodu prawnika, takie jak postępowanie sądowe lub formalne zastępstwo procesowe w postępowaniu sądowym, lub które są związane z wykonywaniem funkcji publicznych, w tym usługi poświadczania i uwierzytelniania dokumentów, które muszą być świadczone przez notariuszy;</w:t>
      </w:r>
    </w:p>
    <w:p>
      <w:r>
        <w:t>g) usług arbitrażowych i pojednawczych;</w:t>
      </w:r>
    </w:p>
    <w:p>
      <w:r>
        <w:t>h) usług finansowych związanych ze świadczeniem usług inwestycyjnych lub prowadzeniem działalności inwestycyjnej w rozumieniu dyrektywy 2014/65/UE[61] i rozporządzenia (UE) nr 600/2014[62], zarządzaniem wskaźnikami referencyjnymi w rozumieniu rozporządzenia (UE) 2016/1011[63], usługami banku centralnego oraz operacjami prowadzonymi z Europejskim Instrumentem Stabilności Finansowej i Europejskim Mechanizmem Stabilności;</w:t>
      </w:r>
    </w:p>
    <w:p>
      <w:r>
        <w:t>i) usługi wyceny, o których mowa w art. 36 i 74 dyrektywy 2014/59/UE[64];</w:t>
      </w:r>
    </w:p>
    <w:p>
      <w:r>
        <w:t>j) dotacji, finansowania, inwestycji lub pożyczek, niezależnie od tego, czy są one związane z emisją, sprzedażą, zakupem lub zbyciem papierów wartościowych lub innych instrumentów finansowych;</w:t>
      </w:r>
    </w:p>
    <w:p>
      <w:r>
        <w:t>k) usługi w zakresie obrony cywilnej, ochrony ludności i zapobiegania niebezpieczeństwom świadczone przez organizacje lub stowarzyszenia o charakterze niekomercyjnym i objęte kodami CPV 75250000-3, 75251000-0, 75251100-1, 75251110-4, 75251120-7, 75252000-7, 75222000-8, 98113100-9 i 85143000-3, z wyjątkiem usług transportu sanitarnego pacjentów;</w:t>
      </w:r>
    </w:p>
    <w:p>
      <w:r>
        <w:t>l) usługi związane z kampanią polityczną objęte kodami CPV 79341400-0, 92111230-3 i 92111240-6, jeżeli udzielane są przez partię polityczną w kontekście kampanii wyborczej;</w:t>
      </w:r>
    </w:p>
    <w:p>
      <w:r>
        <w:t>m) umowy o pracę;</w:t>
      </w:r>
    </w:p>
    <w:p>
      <w:r>
        <w:t>n) umów o świadczenie usług publicznych w zakresie pasażerskiego transportu kolejowego lub metra w rozumieniu rozporządzenia (WE) nr 1370/2007.</w:t>
      </w:r>
    </w:p>
    <w:p>
      <w:r>
        <w:t>2. Oprócz przepisów ust. 1 niniejsze rozporządzenie nie ma zastosowania do następujących zamówień, które dotyczą działalności w dziedzinie usług użyteczności publicznej zgodnie z częścią II tytuł I rozdział 2:</w:t>
      </w:r>
    </w:p>
    <w:p>
      <w:r>
        <w:t>a) zamówień na zakup wody, jeżeli udzielane są przez podmioty zamawiające prowadzące jeden lub oba rodzaje działalności związane z wodą pitną, o których mowa w art. 14;</w:t>
      </w:r>
    </w:p>
    <w:p>
      <w:r>
        <w:t>zamówień udzielanych przez same podmioty zamawiające działające w sektorze energetycznym poprzez prowadzenie działalności, o której mowa w art. 12 ust. 1, art. 13 ust. 1 lub art. 18, na dostawy energii lub paliw do produkcji energii;</w:t>
      </w:r>
    </w:p>
    <w:p>
      <w:r>
        <w:t>zamówień udzielanych przez podmioty zamawiające w celu odsprzedaży lub dzierżawy osobom trzecim, pod warunkiem że podmiotowi zamawiającemu nie przysługuje żadne specjalne lub wyłączne prawo do sprzedaży lub dzierżawy przedmiotu takich zamówień, a inne podmioty mają swobodę jego sprzedaży lub dzierżawy na takich samych warunkach jak podmiot zamawiający;</w:t>
      </w:r>
    </w:p>
    <w:p>
      <w:r>
        <w:t>zamówień udzielanych przez podmioty zamawiające do celów innych niż prowadzenie ich działalności określonej w art. 12–18 lub do celów prowadzenia takiej działalności w państwie trzecim w warunkach nieobejmujących fizycznego wykorzystania sieci lub obszaru geograficznego w Unii oraz konkursów organizowanych w takich celach.</w:t>
      </w:r>
    </w:p>
    <w:p>
      <w:r>
        <w:rPr>
          <w:sz w:val="16"/>
        </w:rPr>
        <w:t>59 Dyrektywa Parlamentu Europejskiego i Rady (UE) 2018/1972 z dnia 11 grudnia 2018 r. ustanawiająca Europejski kodeks łączności elektronicznej (wersja przekształcona) (Dz.U. L 321 z 17.12.2018, s. 36, ELI: http://data.europa.eu/eli/dir/2018/1972/oj).</w:t>
      </w:r>
    </w:p>
    <w:p>
      <w:r>
        <w:rPr>
          <w:sz w:val="16"/>
        </w:rPr>
        <w:t>60 Rozporządzenie Parlamentu Europejskiego i Rady (UE) 2024/1083 z dnia 11 kwietnia 2024 r. w sprawie ustanowienia wspólnych ram dla usług medialnych na rynku wewnętrznym i zmiany dyrektywy 2010/13/UE (europejski akt o wolności mediów) (Dz.U. L, 2024/1083, 17.4.2024, ELI: http://data.europa.eu/eli/reg/2024/1083/oj).</w:t>
      </w:r>
    </w:p>
    <w:p>
      <w:r>
        <w:rPr>
          <w:sz w:val="16"/>
        </w:rPr>
        <w:t>61 Dyrektywa Parlamentu Europejskiego i Rady 2014/65/UE z dnia 15 maja 2014 r. w sprawie rynków instrumentów finansowych oraz zmieniająca dyrektywę 2002/92/WE i dyrektywę 2011/61/UE (wersja przekształcona) (Dz.U. L 173 z 12.6.2014, s. 349, ELI: http://data.europa.eu/eli/dir/2014/65/oj).</w:t>
      </w:r>
    </w:p>
    <w:p>
      <w:r>
        <w:rPr>
          <w:sz w:val="16"/>
        </w:rPr>
        <w:t>62 Rozporządzenie Parlamentu Europejskiego i Rady (UE) nr 600/2014 z dnia 15 maja 2014 r. w sprawie rynków instrumentów finansowych oraz zmieniające rozporządzenie (UE) nr 648/2012 (Dz.U. L 173 z 12.6.2014, s. 84, ELI: http://data.europa.eu/eli/reg/2014/600/oj).</w:t>
      </w:r>
    </w:p>
    <w:p>
      <w:r>
        <w:rPr>
          <w:sz w:val="16"/>
        </w:rPr>
        <w:t>63 Rozporządzenie Parlamentu Europejskiego i Rady (UE) 2016/1011 z dnia 8 czerwca 2016 r. w sprawie indeksów stosowanych jako wskaźniki referencyjne w instrumentach finansowych i umowach finansowych lub do pomiaru wyników funduszy inwestycyjnych i zmieniające dyrektywy 2008/48/WE i 2014/17/UE oraz rozporządzenie (UE) nr 596/2014 (Dz.U. L 171 z 29.6.2016, s. 1, ELI: http://data.europa.eu/eli/reg/2016/1011/oj).</w:t>
      </w:r>
    </w:p>
    <w:p>
      <w:r>
        <w:rPr>
          <w:sz w:val="16"/>
        </w:rPr>
        <w:t>64 Dyrektywa Parlamentu Europejskiego i Rady 2014/59/UE z dnia 15 maja 2014 r. ustanawiająca ramy na potrzeby prowadzenia działań naprawczych oraz restrukturyzacji i uporządkowanej likwidacji w odniesieniu do instytucji kredytowych i firm inwestycyjnych oraz zmieniająca dyrektywę Rady 82/891/EWG i dyrektywy Parlamentu Europejskiego i Rady 2001/24/WE, 2002/47/WE, 2004/25/WE, 2005/56/WE, 2007/36/WE, 2011/35/UE, 2012/30/UE i 2013/36/UE oraz rozporządzenia Parlamentu Europejskiego i Rady (UE) nr 1093/2010 i (UE) nr 648/2012 (Dz.U. L 173 z 12.6.2014, s. 190, ELI: http://data.europa.eu/eli/dir/2014/59/oj).</w:t>
      </w:r>
    </w:p>
    <w:p>
      <w:pPr>
        <w:pStyle w:val="Heading3"/>
        <w:jc w:val="center"/>
      </w:pPr>
      <w:r>
        <w:t>Artykuł 86</w:t>
      </w:r>
    </w:p>
    <w:p>
      <w:pPr>
        <w:pStyle w:val="Heading4"/>
        <w:jc w:val="center"/>
      </w:pPr>
      <w:r>
        <w:t>Zamówienia mieszane obejmujące aspekty obronności lub bezpieczeństwa</w:t>
      </w:r>
    </w:p>
    <w:p>
      <w:r>
        <w:t>1. Niniejszy artykuł ma zastosowanie do zamówień mieszanych, których przedmiotem jest zamówienie objęte niniejszym rozporządzeniem, jak również zamówienie objęte art. 346 Traktatu lub dyrektywą 2009/81/WE.</w:t>
      </w:r>
    </w:p>
    <w:p>
      <w:r>
        <w:t>2. W przypadku gdy poszczególne części danego zamówienia publicznego można obiektywnie rozdzielić, nabywcy publiczni mogą podjąć decyzję o udzieleniu odrębnych zamówień na poszczególne części lub o udzieleniu jednego zamówienia.</w:t>
      </w:r>
    </w:p>
    <w:p>
      <w:r>
        <w:t>3. W przypadku gdy nabywcy publiczni podejmują decyzję o udzieleniu odrębnych zamówień na poszczególne części, decyzję dotyczącą systemu prawnego mającego zastosowanie do każdego takiego odrębnego zamówienia podejmuje się na podstawie cech charakterystycznych danej odrębnej części.</w:t>
      </w:r>
    </w:p>
    <w:p>
      <w:r>
        <w:t>4. W przypadku gdy nabywcy publiczni zdecydują się udzielić jednego zamówienia, do określenia mającego zastosowanie systemu prawnego stosuje się następujące kryteria:</w:t>
      </w:r>
    </w:p>
    <w:p>
      <w:r>
        <w:t>w przypadku gdy część danego zamówienia jest objęta art. 346 Traktatu, zamówienie może zostać udzielone bez stosowania niniejszego rozporządzenia, pod warunkiem że udzielenie jednego zamówienia jest uzasadnione z przyczyn obiektywnych;</w:t>
      </w:r>
    </w:p>
    <w:p>
      <w:r>
        <w:t>b) w przypadku gdy część danego zamówienia jest objęta dyrektywą 2009/81/WE, zamówienia można udzielić zgodnie z tą dyrektywą, pod warunkiem że udzielenie jednego zamówienia jest uzasadnione z przyczyn obiektywnych, z zastrzeżeniem progów i wyłączeń przewidzianych w tej dyrektywie.</w:t>
      </w:r>
    </w:p>
    <w:p>
      <w:r>
        <w:t>5. Decyzja o udzieleniu jednego zamówienia nie może być jednak podejmowana w celu wyłączenia zamówień ze stosowania niniejszego rozporządzenia lub dyrektywy 2009/81/WE.</w:t>
      </w:r>
    </w:p>
    <w:p>
      <w:r>
        <w:t>6. Ust. 2 akapit trzeci lit. a) ma zastosowanie do zamówień mieszanych, do których w przeciwnym razie zastosowanie mogłyby mieć zarówno lit. a), jak i lit. b) tego akapitu.</w:t>
      </w:r>
    </w:p>
    <w:p>
      <w:r>
        <w:t>7. W przypadku gdy poszczególnych części danego zamówienia nie da się w obiektywny sposób rozdzielić, zamówienie może zostać udzielone bez stosowania niniejszego rozporządzenia, jeżeli zawiera elementy, do których stosuje się art. 346 Traktatu; w innym razie można go udzielić zgodnie z dyrektywą 2009/81/WE.</w:t>
      </w:r>
    </w:p>
    <w:p>
      <w:pPr>
        <w:pStyle w:val="Heading3"/>
        <w:jc w:val="center"/>
      </w:pPr>
      <w:r>
        <w:t>Artykuł 87</w:t>
      </w:r>
    </w:p>
    <w:p>
      <w:pPr>
        <w:pStyle w:val="Heading4"/>
        <w:jc w:val="center"/>
      </w:pPr>
      <w:r>
        <w:t>Inne zamówienia mieszane</w:t>
      </w:r>
    </w:p>
    <w:p>
      <w:r>
        <w:t>1. Zamówień, których przedmiotem są co najmniej dwa rodzaje zamówień, a mianowicie roboty budowlane, usługi lub dostawy, lub które częściowo prowadzą działalność w dziedzinie usług użyteczności publicznej zgodnie z częścią II tytuł I rozdział 2, udziela się zgodnie z przepisami mającymi zastosowanie do rodzaju zamówienia, który charakteryzuje główny przedmiot danego zamówienia.</w:t>
      </w:r>
    </w:p>
    <w:p>
      <w:r>
        <w:t>2. W przypadku zamówień mieszanych składających się częściowo z usług społecznych, zdrowotnych i edukacyjnych w rozumieniu art. 58, a częściowo z innych usług, lub w przypadku zamówień mieszanych składających się częściowo z takich usług, a częściowo z dostaw, główny przedmiot zamówienia określa się zgodnie z tym, która z szacowanych wartości danych usług lub dostaw jest najwyższa.</w:t>
      </w:r>
    </w:p>
    <w:p>
      <w:r>
        <w:t>3. Niniejsze rozporządzenie ma zastosowanie do zamówień, których przedmiotem jest zamówienie objęte niniejszym rozporządzeniem, jak również zamówienie nieobjęte niniejszym rozporządzeniem, niezależnie od głównego przedmiotu lub wartości części, które w przeciwnym razie podlegałyby innemu systemowi prawnemu, chyba że art. 86 stanowi inaczej.</w:t>
      </w:r>
    </w:p>
    <w:p>
      <w:pPr>
        <w:pStyle w:val="Heading2"/>
        <w:jc w:val="center"/>
      </w:pPr>
      <w:r>
        <w:t>Rozdział 2</w:t>
      </w:r>
    </w:p>
    <w:p>
      <w:pPr>
        <w:pStyle w:val="Heading2"/>
        <w:jc w:val="center"/>
      </w:pPr>
      <w:r>
        <w:t>Przedmiot zamówienia i środki dowodowe</w:t>
      </w:r>
    </w:p>
    <w:p>
      <w:pPr>
        <w:pStyle w:val="Heading3"/>
        <w:jc w:val="center"/>
      </w:pPr>
      <w:r>
        <w:t>Artykuł 88</w:t>
      </w:r>
    </w:p>
    <w:p>
      <w:pPr>
        <w:pStyle w:val="Heading4"/>
        <w:jc w:val="center"/>
      </w:pPr>
      <w:r>
        <w:t>Specyfikacja</w:t>
      </w:r>
    </w:p>
    <w:p>
      <w:r>
        <w:t>1. Nabywcy publiczni określają w szczegółach zamówienia specyfikacje określające cechy robót budowlanych, dostaw lub usług będących przedmiotem zamówienia. Specyfikacje określa się w sposób obiektywny, jasny i mierzalny oraz formułuje w taki sposób, aby umożliwić zainteresowanym wykonawcom zidentyfikowanie przedmiotu zamówienia, a nabywcom publicznym ocenę zgodności ofert ze specyfikacjami.</w:t>
      </w:r>
    </w:p>
    <w:p>
      <w:r>
        <w:t>2. Cechy, o których mowa w ust. 1 niniejszego artykułu, mogą – pod warunkiem że są związane z przedmiotem zamówienia na podstawie art. 90 – odnosić się do metod lub konkretnych procesów produkcji lub do aspektów strategicznych określonych w tytule II niniejszej części.</w:t>
      </w:r>
    </w:p>
    <w:p>
      <w:r>
        <w:t>3. Specyfikacje opisują charakterystykę rozwiązania, które ma zostać zamówione, pod względem wymagań funkcjonalnych. „Wymóg funkcjonalny” oznacza wymóg, który opisuje wydajność, pożądaną funkcję, zdolność, wynik lub rezultat, jakie musi osiągnąć obiekt budowlany, produkt lub usługa, bez odnoszenia się do konkretnych środków technicznych, projektu lub metod, za pomocą których mają zostać osiągnięte funkcje lub wyniki.</w:t>
      </w:r>
    </w:p>
    <w:p>
      <w:r>
        <w:t>4. Nabywcy publiczni mogą odstąpić od ust. 3, jeżeli normy są obowiązkowe na mocy prawa Unii lub jeżeli charakterystyki nie można wystarczająco lub odpowiednio opisać w wymogach funkcjonalnych. W tym ostatnim przypadku nabywcy publiczni mogą sformułować wymogi w specyfikacjach, w szczególności w formie zaleceń technicznych dotyczących robót budowlanych lub definicji cech dostaw lub usług, lub w dowolny z następujących sposobów przez odniesienie, w kolejności preferencji:</w:t>
      </w:r>
    </w:p>
    <w:p>
      <w:r>
        <w:t>a) normy zharmonizowane, a także normy i dokumenty normalizacyjne, do których odniesienia opublikowano do celów niniejszego ustępu w Dzienniku Urzędowym Unii Europejskiej lub w jakikolwiek inny sposób przewidziany zgodnie z przepisami Unii i wspólnymi specyfikacjami, rozumiane jako specyfikacje techniczne inne niż norma i przyjęte przez Komisję, których zgodność przewiduje domniemanie zgodności z wymogami określonymi w odpowiednich przepisach Unii;</w:t>
      </w:r>
    </w:p>
    <w:p>
      <w:r>
        <w:t>b) norm europejskich zdefiniowanych w art. 2 rozporządzenia (UE) nr 1025/2012, w tym norm krajowych transponujących normy europejskie;</w:t>
      </w:r>
    </w:p>
    <w:p>
      <w:r>
        <w:t>c) Europejskie dokumenty oceny;</w:t>
      </w:r>
    </w:p>
    <w:p>
      <w:r>
        <w:t>d) normy międzynarodowe;</w:t>
      </w:r>
    </w:p>
    <w:p>
      <w:r>
        <w:t>e) inne dokumenty normalizacyjne opracowane przez europejską organizację normalizacyjną zdefiniowaną w rozporządzeniu (UE) nr 1025/2012;</w:t>
      </w:r>
    </w:p>
    <w:p>
      <w:r>
        <w:t>w przypadku braku wszystkich sposobów, o których mowa w lit. a)–e), specyfikacje można formułować poprzez odniesienie do norm krajowych, krajowych aprobat technicznych lub krajowych specyfikacji technicznych dotyczących projektowania, wyliczeń i realizacji robót budowlanych oraz wykorzystania dostaw; każdemu odniesieniu towarzyszą słowa „lub równoważne”.</w:t>
      </w:r>
    </w:p>
    <w:p>
      <w:r>
        <w:t>5. Specyfikacje nie odnoszą się do konkretnej marki lub źródła, ani do szczególnego procesu, który charakteryzuje produkty lub usługi dostarczane przez jednego konkretnego wykonawcę, ani do znaków towarowych, patentów, typów lub konkretnego pochodzenia lub produkcji, które skutkują uprzywilejowaniem lub wyeliminowaniem niektórych przedsiębiorstw lub produktów.</w:t>
      </w:r>
    </w:p>
    <w:p>
      <w:r>
        <w:t>6. Odniesienie, o którym mowa w ust. 5, dopuszcza się jedynie w wyjątkowych przypadkach, gdy minimalny poziom precyzji zgodnie z ust. 1, 2 i 3 nie jest możliwy z innych względów. Takim odniesieniom towarzyszą słowa „lub równoważne”.</w:t>
      </w:r>
    </w:p>
    <w:p>
      <w:r>
        <w:t>Niniejszy ustęp stosuje się bez uszczerbku dla wymogów dotyczących preferencji europejskiej określonych w niniejszym rozporządzeniu lub innych przepisach Unii.</w:t>
      </w:r>
    </w:p>
    <w:p>
      <w:r>
        <w:t>W przypadku gdy nabywca publiczny korzysta z możliwości odniesienia się do norm lub specyfikacji, o których mowa w ust. 4, nie może on odrzucić oferty na podstawie faktu, że oferowane rozwiązania nie są zgodne z normami lub specyfikacjami, do których się odnosił, o ile oferent udowodni w swojej ofercie, że proponowane rozwiązania spełniają wymogi w sposób równoważny z wymogami określonymi w specyfikacjach. Oferta może dostarczyć dowód za pomocą wszelkich odpowiednich środków, w tym środków dowodowych, o których mowa w art. 92.</w:t>
      </w:r>
    </w:p>
    <w:p>
      <w:pPr>
        <w:pStyle w:val="Heading3"/>
        <w:jc w:val="center"/>
      </w:pPr>
      <w:r>
        <w:t>Artykuł 89</w:t>
      </w:r>
    </w:p>
    <w:p>
      <w:pPr>
        <w:pStyle w:val="Heading4"/>
        <w:jc w:val="center"/>
      </w:pPr>
      <w:r>
        <w:t>Warianty</w:t>
      </w:r>
    </w:p>
    <w:p>
      <w:r>
        <w:t>1. W przypadku gdy nabywcy publiczni nie formułują specyfikacji wyłącznie w formie wymogów funkcjonalnych zgodnie z art. 88 ust. 3, rozważają, czy dopuścić oferty wariantowe.</w:t>
      </w:r>
    </w:p>
    <w:p>
      <w:r>
        <w:t>Do celów niniejszego rozporządzenia „wariant” oznacza ofertę częściowo odbiegającą od specyfikacji określonych w specyfikacji zamówienia, oferującą alternatywne rozwiązanie w celu zaspokojenia potrzeb nabywcy publicznego.</w:t>
      </w:r>
    </w:p>
    <w:p>
      <w:r>
        <w:t>2. Nabywcy publiczni wskazują w szczegółach zamówienia, czy dopuszczają oferty wariantowe, a jeżeli nie, wskazują główne powody takiej decyzji. Nabywcy publiczni określają wszelkie minimalne wymogi, które oferty wariantowe muszą spełniać, pod warunkiem że nie ograniczają one niepotrzebnie zdolności wykonawców do proponowania alternatywnych rozwiązań zdolnych do zaspokojenia potrzeb i osiągnięcia celów nabywcy. Oferty wariantowe muszą być powiązane z przedmiotem zamówienia zgodnie z art. 90 i oceniane na podstawie tych samych kryteriów udzielenia zamówienia co oferty niewariantowe.</w:t>
      </w:r>
    </w:p>
    <w:p>
      <w:pPr>
        <w:pStyle w:val="Heading3"/>
        <w:jc w:val="center"/>
      </w:pPr>
      <w:r>
        <w:t>Artykuł 90</w:t>
      </w:r>
    </w:p>
    <w:p>
      <w:pPr>
        <w:pStyle w:val="Heading4"/>
        <w:jc w:val="center"/>
      </w:pPr>
      <w:r>
        <w:t>Związek z przedmiotem zamówienia</w:t>
      </w:r>
    </w:p>
    <w:p>
      <w:r>
        <w:t>1. Kryteria kwalifikacji, kryteria udzielenia zamówienia, specyfikacje i warunki realizacji zamówień są powiązane z przedmiotem zamówienia.</w:t>
      </w:r>
    </w:p>
    <w:p>
      <w:r>
        <w:t>Uznaje się, że taki związek istnieje, jeżeli dany warunek, wymóg lub kryterium odnosi się do robót budowlanych, dostaw lub usług, które mają być zrealizowane na podstawie zamówienia, na dowolnym etapie ich cyklu życia.</w:t>
      </w:r>
    </w:p>
    <w:p>
      <w:r>
        <w:t>2. Związek z przedmiotem zamówienia może być albo bezpośredni, to znaczy dany warunek, wymóg lub kryterium są nierozerwalnie związane z istotą przedmiotu zamówienia, albo pośredni.</w:t>
      </w:r>
    </w:p>
    <w:p>
      <w:r>
        <w:t>3. Warunek, wymóg lub kryterium uznaje się za pośrednio związane z przedmiotem zamówienia, jeżeli – nie będąc częścią istotnej treści danych robót budowlanych, usług lub dostaw – mają one szczególny wpływ na te roboty budowlane, usługi lub dostawy w zakresie ich przygotowania, produkcji lub na każdym innym etapie ich cyklu życia w zakresie objętym zamówieniem, w tym na warunki pracy pracowników uczestniczących w którymkolwiek z tych etapów cyklu życia oraz odpowiedzialne pozyskiwanie i przejrzystość łańcucha dostaw w odniesieniu do produktu będącego przedmiotem danego zamówienia.</w:t>
      </w:r>
    </w:p>
    <w:p>
      <w:pPr>
        <w:pStyle w:val="Heading3"/>
        <w:jc w:val="center"/>
      </w:pPr>
      <w:r>
        <w:t>Artykuł 91</w:t>
      </w:r>
    </w:p>
    <w:p>
      <w:pPr>
        <w:pStyle w:val="Heading4"/>
        <w:jc w:val="center"/>
      </w:pPr>
      <w:r>
        <w:t>Etykiety</w:t>
      </w:r>
    </w:p>
    <w:p>
      <w:r>
        <w:t>1. W przypadku gdy nabywcy publiczni zamierzają nabyć rozwiązania o szczególnych cechach środowiskowych, społecznych lub innych, mogą oni w specyfikacjach, kryteriach udzielenia zamówienia lub warunkach realizacji zamówień wymagać określonej etykiety jako dowodu na to, że roboty budowlane, usługi i produkty odpowiadają wymaganym cechom, pod warunkiem że spełnione są wszystkie następujące warunki:</w:t>
      </w:r>
    </w:p>
    <w:p>
      <w:r>
        <w:t>a) wymogi dotyczące etykiety dotyczą wyłącznie kryteriów, które są związane z przedmiotem zamówienia i są odpowiednie do określenia cech rozwiązań będących przedmiotem zamówienia;</w:t>
      </w:r>
    </w:p>
    <w:p>
      <w:r>
        <w:t>b) wymogi dotyczące etykiety opierają się na kryteriach obiektywnie weryfikowalnych i niedyskryminacyjnych;</w:t>
      </w:r>
    </w:p>
    <w:p>
      <w:r>
        <w:t>c) etykiety są przyjmowane w drodze otwartej i przejrzystej procedury, w której mogą uczestniczyć wszystkie odpowiednie zainteresowane strony, w tym organy rządowe, konsumenci, partnerzy społeczni, producenci, dystrybutorzy i organizacje pozarządowe;</w:t>
      </w:r>
    </w:p>
    <w:p>
      <w:r>
        <w:t>d) etykiety są dostępne dla wszystkich zainteresowanych stron;</w:t>
      </w:r>
    </w:p>
    <w:p>
      <w:r>
        <w:t>e) wymogi dotyczące etykiety są ustalane przez osobę trzecią, na którą wykonawca ubiegający się o etykietę nie może wywierać decydującego wpływu.</w:t>
      </w:r>
    </w:p>
    <w:p>
      <w:r>
        <w:t>Oprócz warunków określonych w akapicie pierwszym i bez uszczerbku dla wymogów określonych w innych przepisach Unii, w przypadku gdy nabywcy publiczni wymagają oznakowania ekologicznego, oznakowaniem ekologicznym UE jest oznakowanie ekologiczne UE, pod warunkiem że dane roboty budowlane, produkty lub usługi są objęte kryteriami oznakowania ekologicznego UE przyjętymi na podstawie rozporządzenia (WE) nr 66/2010[65]. W przypadku braku kryteriów oznakowania ekologicznego UE dla zakupionych robót budowlanych, produktów lub usług wymagane oznakowanie ekologiczne jest zweryfikowanym przez stronę trzecią oznakowaniem ekologicznym opartym na perspektywie cyklu życia zgodnym z akapitem pierwszym.</w:t>
      </w:r>
    </w:p>
    <w:p>
      <w:r>
        <w:t>W przypadku gdy nabywcy publiczni nie wymagają, aby roboty budowlane, usługi i produkty spełniały wszystkie wymogi dotyczące etykiety określone w akapitach pierwszym i drugim, wskazują oni, które wymogi dotyczące etykiety mają zostać spełnione.</w:t>
      </w:r>
    </w:p>
    <w:p>
      <w:r>
        <w:t>2. Nabywcy publiczni, którzy wymagają określonej etykiety, akceptują wszystkie inne równoważne etykiety potwierdzające, że roboty budowlane, produkty lub usługi spełniają wymagane cechy.</w:t>
      </w:r>
    </w:p>
    <w:p>
      <w:r>
        <w:t>3. W przypadku gdy wykonawca wykaże, że nie miał możliwości uzyskania określonej etykiety wskazanej przez nabywcę publicznego lub równoważnej etykiety, o której mowa w ust. 2, w odpowiednim terminie z przyczyn pozostających poza jego kontrolą, nabywca publiczny akceptuje inne odpowiednie środki dowodowe, które mogą obejmować dokumentację techniczną producenta, pod warunkiem że dany wykonawca udowodni, że roboty budowlane, usługi lub dostawy, które mają być przez niego wykonane, spełniają wymogi określonej etykiety lub szczególne wymogi wskazane przez nabywcę publicznego.</w:t>
      </w:r>
    </w:p>
    <w:p>
      <w:r>
        <w:t>W przypadku gdy etykieta spełnia warunki określone w ust. 1 lit. b), c), d) i e), ale określa również wymogi niezwiązane z przedmiotem zamówienia, nabywcy publiczni nie wymagają od wykonawcy dostarczenia etykiety, ale mogą określić specyfikacje poprzez odniesienie do tych szczegółowych specyfikacji tej etykiety lub, w razie potrzeby, ich części, które są związane z przedmiotem zamówienia i są odpowiednie do określenia cech tego przedmiotu.</w:t>
      </w:r>
    </w:p>
    <w:p>
      <w:r>
        <w:rPr>
          <w:sz w:val="16"/>
        </w:rPr>
        <w:t>65 Rozporządzenie Parlamentu Europejskiego i Rady (WE) nr 66/2010 z dnia 25 listopada 2009 r. w sprawie oznakowania ekologicznego UE (Dz.U. L 27 z 30.1.2010, s. 1, ELI: http://data.europa.eu/eli/reg/2010/66/oj).</w:t>
      </w:r>
    </w:p>
    <w:p>
      <w:pPr>
        <w:pStyle w:val="Heading3"/>
        <w:jc w:val="center"/>
      </w:pPr>
      <w:r>
        <w:t>Artykuł 92</w:t>
      </w:r>
    </w:p>
    <w:p>
      <w:pPr>
        <w:pStyle w:val="Heading4"/>
        <w:jc w:val="center"/>
      </w:pPr>
      <w:r>
        <w:t>Środki dowodowe w odniesieniu do wymogów dotyczących wyrobów</w:t>
      </w:r>
    </w:p>
    <w:p>
      <w:r>
        <w:t>1. Nabywcy publiczni mogą wymagać od wykonawców przedstawienia deklaracji zgodności lub deklaracji właściwości użytkowych i zgodności produktu za pośrednictwem cyfrowego paszportu produktu zgodnie z rozporządzeniem (UE) 2024/1781 lub, jeżeli jeszcze nie istnieje, innych równoważnych środków elektronicznych jako środków dowodowych zgodności lub zgodności z wymogami lub kryteriami określonymi w specyfikacjach, kryteriach udzielenia zamówienia lub warunkach realizacji zamówień.</w:t>
      </w:r>
    </w:p>
    <w:p>
      <w:r>
        <w:t>2. Nabywcy publiczni mogą wymagać sprawozdania z badań sporządzonego przez jednostkę notyfikowaną, jednostkę ds. oceny technicznej, jednostkę oceniającą zgodność lub certyfikatu wydanego przez taką jednostkę jako środka dowodowego potwierdzającego zgodność z wymogami lub kryteriami określonymi w specyfikacjach, kryteriach udzielenia zamówienia lub warunkach realizacji zamówień.</w:t>
      </w:r>
    </w:p>
    <w:p>
      <w:r>
        <w:t>W przypadku gdy nabywcy publiczni wymagają przedłożenia certyfikatów sporządzonych przez konkretną jednostkę notyfikowaną, jednostkę ds. oceny technicznej lub jednostkę oceniającą zgodność, akceptują oni również certyfikaty wydane przez inne równoważne jednostki notyfikowane, jednostki ds. oceny technicznej lub jednostki oceniające zgodność, w tym jednostki mające siedzibę w państwach członkowskich innych niż państwo nabywcy publicznego.</w:t>
      </w:r>
    </w:p>
    <w:p>
      <w:r>
        <w:t>Do celów niniejszego ustępu jednostka oceniająca zgodność jest jednostką, która wykonuje czynności z zakresu oceny zgodności, w tym wzorcowanie, badania, certyfikację i inspekcje, akredytowaną zgodnie z rozporządzeniem Parlamentu Europejskiego i Rady (WE) nr 765/2008[66].</w:t>
      </w:r>
    </w:p>
    <w:p>
      <w:r>
        <w:t>3. Nabywcy publiczni mogą zaakceptować inne odpowiednie środki dowodowe zamiast środków, o których mowa w ust. 1, takie jak dokumentacja techniczna producenta, w przypadku gdy dany wykonawca nie miał dostępu do certyfikatów lub sprawozdań z testów, o których mowa w ust. 1, ani możliwości ich uzyskania w odpowiednim terminie, pod warunkiem że braku dostępu nie można przypisać danemu wykonawcy oraz pod warunkiem że dany wykonawca tym samym udowodni, że realizowane przez niego roboty budowlane, dostawy lub usługi spełniają wymogi lub kryteria określone w specyfikacjach, kryteriach udzielenia zamówienia lub warunkach realizacji zamówień. Wykonawcy mogą przedstawić inne odpowiednie środki dowodowe wyłącznie w przypadku, gdy dokumenty, o których mowa w ust. 1, nie są wymagane na mocy innych przepisów Unii.</w:t>
      </w:r>
    </w:p>
    <w:p>
      <w:r>
        <w:rPr>
          <w:sz w:val="16"/>
        </w:rPr>
        <w:t>66 Rozporządzenie Parlamentu Europejskiego i Rady (WE) nr 765/2008 z dnia 9 lipca 2008 r. ustanawiające wymagania w zakresie akredytacji i nadzoru rynku odnoszące się do warunków wprowadzania produktów do obrotu i uchylające rozporządzenie (EWG) nr 339/93 (Dz.U. L 218 z 13.8.2008, s. 30, ELI: http://data.europa.eu/eli/reg/2008/765/oj).</w:t>
      </w:r>
    </w:p>
    <w:p>
      <w:pPr>
        <w:pStyle w:val="Heading2"/>
        <w:jc w:val="center"/>
      </w:pPr>
      <w:r>
        <w:t>Rozdział 3</w:t>
      </w:r>
    </w:p>
    <w:p>
      <w:pPr>
        <w:pStyle w:val="Heading2"/>
        <w:jc w:val="center"/>
      </w:pPr>
      <w:r>
        <w:t>Przebieg postępowania</w:t>
      </w:r>
    </w:p>
    <w:p>
      <w:pPr>
        <w:pStyle w:val="Heading3"/>
        <w:jc w:val="center"/>
      </w:pPr>
      <w:r>
        <w:t>Artykuł 93</w:t>
      </w:r>
    </w:p>
    <w:p>
      <w:pPr>
        <w:pStyle w:val="Heading4"/>
        <w:jc w:val="center"/>
      </w:pPr>
      <w:r>
        <w:t>Poufność</w:t>
      </w:r>
    </w:p>
    <w:p>
      <w:r>
        <w:t>1. Nabywcy publiczni nie ujawniają informacji dostarczonych przez wykonawców, które oznaczyli jako poufne, w tym między innymi tajemnic technicznych lub handlowych oraz poufnych aspektów ofert, chyba że niniejsze rozporządzenie lub prawo Unii lub prawo krajowe, któremu podlega nabywca publiczny, w szczególności przepisy dotyczące dostępu do informacji, stanowią inaczej.</w:t>
      </w:r>
    </w:p>
    <w:p>
      <w:r>
        <w:t>2. Nabywcy publiczni mogą nakładać na wykonawców wymogi mające na celu ochronę poufnego charakteru informacji udostępnianych przez nabywców publicznych w trakcie postępowania o udzielenie zamówienia lub w trakcie realizacji zamówienia.</w:t>
      </w:r>
    </w:p>
    <w:p>
      <w:r>
        <w:t>3. W przypadku gdy jest to uzasadnione względami bezpieczeństwa, w tym między innymi podstawowymi interesami bezpieczeństwa narodowego lub bezpieczeństwa Unii, nabywcy publiczni mogą:</w:t>
      </w:r>
    </w:p>
    <w:p>
      <w:r>
        <w:t>a) ograniczają informacje, które przekazują wykonawcom, do niektórych etapów postępowania o udzielenie zamówienia; lub</w:t>
      </w:r>
    </w:p>
    <w:p>
      <w:r>
        <w:t>b) uzależnić dostęp do informacji od podjęcia pewnych środków bezpieczeństwa, w szczególności od uzyskania poświadczenia bezpieczeństwa w państwie członkowskim, w którym zamówienie publiczne ma być realizowane.</w:t>
      </w:r>
    </w:p>
    <w:p>
      <w:pPr>
        <w:pStyle w:val="Heading3"/>
        <w:jc w:val="center"/>
      </w:pPr>
      <w:r>
        <w:t>Artykuł 94</w:t>
      </w:r>
    </w:p>
    <w:p>
      <w:pPr>
        <w:pStyle w:val="Heading4"/>
        <w:jc w:val="center"/>
      </w:pPr>
      <w:r>
        <w:t>Konflikty interesów</w:t>
      </w:r>
    </w:p>
    <w:p>
      <w:r>
        <w:t>1. Nabywcy publiczni podejmują odpowiednie środki w celu skutecznego zapobiegania konfliktom interesów powstającym w trakcie prowadzenia postępowań o udzielenie zamówienia, ich identyfikowania i eliminowania, w tym w zakresie opracowywania i przygotowywania postępowania oraz zaangażowanego personelu, sporządzania szczegółowych informacji na temat zamówienia, wyboru wykonawców i udzielenia zamówienia.</w:t>
      </w:r>
    </w:p>
    <w:p>
      <w:r>
        <w:t>Do celów niniejszego artykułu „konflikt interesów” obejmuje każdą sytuację, w której kategorie osób, o których mowa w ust. 2, mają, bezpośrednio lub pośrednio, osobisty interes w wyniku postępowania o udzielenie zamówienia lub w wykonaniu umowy, który to interes może zagrozić bezstronnemu i obiektywnemu wykonywaniu ich obowiązków.</w:t>
      </w:r>
    </w:p>
    <w:p>
      <w:r>
        <w:t>Do celów niniejszego ustępu „interes osobisty” oznacza wszelkie interesy rodzinne, emocjonalne, gospodarcze, polityczne lub inne istotne interesy wspólne z kandydatami, oferentami lub wykonawcą, w tym sprzeczne interesy zawodowe.</w:t>
      </w:r>
    </w:p>
    <w:p>
      <w:r>
        <w:t>2. Przepisy, o których mowa w ust. 1, mają zastosowanie do konfliktów interesów dotyczących co najmniej następujących kategorii osób:</w:t>
      </w:r>
    </w:p>
    <w:p>
      <w:r>
        <w:t>a) członków personelu nabywcy publicznego, dostawców usług w zakresie zamówień publicznych lub członków personelu innych usługodawców, którzy są zaangażowani w prowadzenie postępowania o udzielenie zamówienia lub mogą mieć wpływ na jego wynik;</w:t>
      </w:r>
    </w:p>
    <w:p>
      <w:r>
        <w:t>członkowie organów decyzyjnych nabywcy publicznego lub innych organów mających wpływ na proces decyzyjny nabywcy publicznego, którzy mogą mieć wpływ na wynik postępowania o udzielenie zamówienia, niekoniecznie biorąc udział w prowadzeniu tego postępowania.</w:t>
      </w:r>
    </w:p>
    <w:p>
      <w:r>
        <w:t>3. Osoby, o których mowa w ust. 2, są zobowiązane do zgłaszania wszelkich konfliktów interesów w odniesieniu do któregokolwiek z wykonawców uczestniczących w postępowaniu o udzielenie zamówienia, gdy tylko dowiedzą się o takich konfliktach, aby umożliwić podjęcie działań naprawczych.</w:t>
      </w:r>
    </w:p>
    <w:p>
      <w:r>
        <w:t>Nabywcy publiczni mogą wymagać, aby wykonawcy zadeklarowali w swoim wyrażeniu zainteresowania, ofercie lub na początku negocjacji istnienie jakichkolwiek powiązań z osobami, o których mowa w ust. 2 lit. b), które mogą postawić te osoby w sytuacji konfliktu interesów, a także konfliktu interesów w związku z przedmiotem postępowania o udzielenie zamówienia.</w:t>
      </w:r>
    </w:p>
    <w:p>
      <w:r>
        <w:t>4. Bez uszczerbku dla art. 140 ust. 3 środki zaradcze obejmują przede wszystkim wyłączenie danych osób, o których mowa w ust. 2, z udziału w danym postępowaniu o udzielenie zamówienia lub przeniesienie ich obowiązków i odpowiedzialności.</w:t>
      </w:r>
    </w:p>
    <w:p>
      <w:r>
        <w:t>W przypadku gdy konfliktów interesów nie można skutecznie rozwiązać za pomocą innych środków, dany wykonawca zostaje wykluczony z postępowania dopiero po zapewnieniu mu możliwości udowodnienia, że sytuacja podejrzewanego konfliktu interesów nie zakłóca konkurencji.</w:t>
      </w:r>
    </w:p>
    <w:p>
      <w:r>
        <w:t>5. Wszystkie konflikty interesów, którym zapobieżono, które zidentyfikowano lub zgłoszono, oraz podjęte środki zaradcze dokumentuje się zgodnie z art. 109.</w:t>
      </w:r>
    </w:p>
    <w:p>
      <w:pPr>
        <w:pStyle w:val="Heading3"/>
        <w:jc w:val="center"/>
      </w:pPr>
      <w:r>
        <w:t>Artykuł 95</w:t>
      </w:r>
    </w:p>
    <w:p>
      <w:pPr>
        <w:pStyle w:val="Heading4"/>
        <w:jc w:val="center"/>
      </w:pPr>
      <w:r>
        <w:t>Wcześniejsze zaangażowanie w przygotowanie postępowania o udzielenie zamówienia</w:t>
      </w:r>
    </w:p>
    <w:p>
      <w:r>
        <w:t>1. W przypadku gdy wykonawca był zaangażowany w przygotowanie postępowania o udzielenie zamówienia, nabywcy publiczni podejmują wszelkie niezbędne środki w celu zapewnienia, aby udział tego wykonawcy nie zakłócał konkurencji.</w:t>
      </w:r>
    </w:p>
    <w:p>
      <w:r>
        <w:t>Udziału w konsultacjach rynkowych nie uznaje się za przygotowanie postępowania o udzielenie zamówienia w rozumieniu niniejszego artykułu.</w:t>
      </w:r>
    </w:p>
    <w:p>
      <w:r>
        <w:t>2. Środki, o których mowa w ust. 1, obejmują udostępnianie wszystkim zainteresowanym wykonawcom odpowiednich informacji wymienianych lub uzyskiwanych przez uczestniczącego wykonawcę podczas przygotowywania postępowania o udzielenie zamówienia, a także wyznaczanie odpowiednich terminów w celu zapewnienia uczciwej konkurencji.</w:t>
      </w:r>
    </w:p>
    <w:p>
      <w:r>
        <w:t>3. Dany wykonawca zostaje wykluczony z postępowania tylko wtedy, gdy nie istnieją inne sposoby zapewnienia równego traktowania i po umożliwieniu mu udowodnienia, że jego wcześniejsze zaangażowanie nie zakłóca konkurencji.</w:t>
      </w:r>
    </w:p>
    <w:p>
      <w:r>
        <w:t>4. Środki te są dokumentowane zgodnie z art. 109.</w:t>
      </w:r>
    </w:p>
    <w:p>
      <w:pPr>
        <w:pStyle w:val="Heading3"/>
        <w:jc w:val="center"/>
      </w:pPr>
      <w:r>
        <w:t>Artykuł 96</w:t>
      </w:r>
    </w:p>
    <w:p>
      <w:pPr>
        <w:pStyle w:val="Heading4"/>
        <w:jc w:val="center"/>
      </w:pPr>
      <w:r>
        <w:t>Wyznaczanie terminów</w:t>
      </w:r>
    </w:p>
    <w:p>
      <w:r>
        <w:t>1. Przy ustalaniu terminów wyrażenia zainteresowania lub składania ofert oraz bez uszczerbku dla minimalnych i maksymalnych terminów określonych w tytule I niniejszej części nabywcy publiczni uwzględniają charakter i złożoność zamówienia, konieczność kontroli na miejscu oraz czas potrzebny na sporządzenie ofert.</w:t>
      </w:r>
    </w:p>
    <w:p>
      <w:r>
        <w:t>2. Nabywcy publiczni przedłużają terminy składania ofert w przypadku dodatkowych informacji lub istotnych zmian. Okres przedłużenia jest proporcjonalny do znaczenia i złożoności informacji lub zmiany.</w:t>
      </w:r>
    </w:p>
    <w:p>
      <w:pPr>
        <w:pStyle w:val="Heading3"/>
        <w:jc w:val="center"/>
      </w:pPr>
      <w:r>
        <w:t>Artykuł 97</w:t>
      </w:r>
    </w:p>
    <w:p>
      <w:pPr>
        <w:pStyle w:val="Heading4"/>
        <w:jc w:val="center"/>
      </w:pPr>
      <w:r>
        <w:t>Dostępność szczegółowych informacji na temat zamówienia</w:t>
      </w:r>
    </w:p>
    <w:p>
      <w:r>
        <w:t>1. Nabywcy publiczni zapewniają nieograniczony, pełny, bezpośredni i bezpłatny dostęp drogą elektroniczną do szczegółowych informacji dotyczących zamówienia od dnia publikacji publicznego podsumowania warunków konkurencji do trzech lat po udzieleniu zamówienia.</w:t>
      </w:r>
    </w:p>
    <w:p>
      <w:r>
        <w:t>2. W przypadku gdy w odniesieniu do niektórych części szczegółowych informacji dotyczących zamówienia nie można zapewnić takiego dostępu, o którym mowa w ust. 1, nabywcy publiczni mogą wskazać w publicznym podsumowaniu inne środki, za pomocą których części te zostaną udostępnione za pomocą środków innych niż elektroniczne.</w:t>
      </w:r>
    </w:p>
    <w:p>
      <w:r>
        <w:t>3. Nabywcy publiczni bez zbędnej zwłoki przekazują wszystkim wykonawcom wszelkie dodatkowe informacje dotyczące specyfikacji oraz wszelkie dodatkowe szczegóły zamówienia niezbędne do złożenia ofert, pod warunkiem że wniosek o nie został złożony w odpowiednim czasie.</w:t>
      </w:r>
    </w:p>
    <w:p>
      <w:r>
        <w:t>4. Niniejszy artykuł pozostaje bez uszczerbku dla art. 93 ust. 3.</w:t>
      </w:r>
    </w:p>
    <w:p>
      <w:pPr>
        <w:pStyle w:val="Heading3"/>
        <w:jc w:val="center"/>
      </w:pPr>
      <w:r>
        <w:t>Artykuł 98</w:t>
      </w:r>
    </w:p>
    <w:p>
      <w:pPr>
        <w:pStyle w:val="Heading4"/>
        <w:jc w:val="center"/>
      </w:pPr>
      <w:r>
        <w:t>Kryteria udzielenia zamówienia</w:t>
      </w:r>
    </w:p>
    <w:p>
      <w:r>
        <w:t>1. Nabywcy publiczni udzielają zamówienia wykonawcy, który oferuje najlepszą relację jakości do ceny.</w:t>
      </w:r>
    </w:p>
    <w:p>
      <w:r>
        <w:t>W tym celu nabywcy publiczni oceniają otrzymane oferty zgodnie z metodą najlepszej relacji jakości do ceny, o której mowa w ust. 2, oraz stosując kryteria udzielenia zamówienia o minimalnej wadze jakości zgodnie z ust. 4, z wyjątkiem przypadków przewidzianych w ust. 5.</w:t>
      </w:r>
    </w:p>
    <w:p>
      <w:r>
        <w:t>2. Aby określić najlepszą relację jakości do ceny, nabywcy publiczni oceniają oferty poprzez porównanie ich ceny i jakości w oparciu o kryteria jakościowe związane z przedmiotem zamówienia. Koszty można również uwzględnić przy określaniu najlepszej relacji jakości do ceny.</w:t>
      </w:r>
    </w:p>
    <w:p>
      <w:r>
        <w:t>Kryteria jakości odnoszą się do wszelkich kryteriów stosowanych do oceny stopnia, w jakim oferta proponuje korzystne, efektywne lub trwałe wyniki w odniesieniu do przedmiotu zamówienia.</w:t>
      </w:r>
    </w:p>
    <w:p>
      <w:r>
        <w:t>Jakość oferty może dotyczyć na przykład następujących aspektów:</w:t>
      </w:r>
    </w:p>
    <w:p>
      <w:r>
        <w:t>a) wartość techniczna, właściwości estetyczne i funkcjonalne, dostępność, dostosowanie projektu do potrzeb wszystkich użytkowników oraz metody produkcji;</w:t>
      </w:r>
    </w:p>
    <w:p>
      <w:r>
        <w:t>b) względy środowiskowe i klimatyczne, o których mowa w art. 50, w stosownych przypadkach względy związane z żywnością, o których mowa w art. 53, względy społeczne, o których mowa w art. 55, cele w zakresie innowacji, o których mowa w art. 59, interesy w zakresie bezpieczeństwa i bezpieczeństwa publicznego określone w art. 66, wymogi dotyczące odporności i bezpieczeństwa dostaw określone w art. 69 lub wymogi dotyczące preferencji europejskiej, w przypadku gdy nabywca publiczny stosuje te wymogi w formie przyznania punktów zgodnie z art. 73 ust. 2 lit. b);</w:t>
      </w:r>
    </w:p>
    <w:p>
      <w:r>
        <w:t>c) jakość wyznaczonego personelu, która może mieć znaczący wpływ na poziom realizacji zamówienia, np. organizacja, kwalifikacje i doświadczenie personelu wyznaczonego do realizacji zamówienia;</w:t>
      </w:r>
    </w:p>
    <w:p>
      <w:r>
        <w:t>d) serwis posprzedażny i pomoc techniczna, warunki dostawy, takie jak data lub okres, w którym dostawa ma się odbyć lub zostać zakończona.</w:t>
      </w:r>
    </w:p>
    <w:p>
      <w:r>
        <w:t>Nabywcy publiczni mogą również ustalić stałą cenę, na podstawie której wykonawcy będą konkurować wyłącznie na podstawie kryteriów jakościowych.</w:t>
      </w:r>
    </w:p>
    <w:p>
      <w:r>
        <w:t>3. Kryteria udzielenia zamówienia muszą być niedyskryminacyjne, proporcjonalne, szczegółowe, obiektywne i wymierne; są one oceniane w ramach procesu obejmującego wystarczające zabezpieczenia przed nieprawidłowościami. Umożliwiają one nabywcy publicznemu skuteczne porównanie mocnych i słabych stron oferowanych towarów, usług i robót budowlanych i nie skutkują przyznaniem nabywcy publicznemu nieograniczonej swobody wyboru.</w:t>
      </w:r>
    </w:p>
    <w:p>
      <w:r>
        <w:t>Nabywcy publiczni określają w publicznym podsumowaniu warunków konkurencji kryteria i ich względną wagę wybraną w celu ustalenia najlepszej relacji jakości do ceny.</w:t>
      </w:r>
    </w:p>
    <w:p>
      <w:r>
        <w:t>4. Waga kryteriów jakości stanowi co najmniej 30 % całkowitej liczby przyznanych punktów.</w:t>
      </w:r>
    </w:p>
    <w:p>
      <w:r>
        <w:t>W przypadku zamówień, których przedmiot jest pracochłonny, waga kryteriów jakościowych musi stanowić co najmniej 50 % całkowitej liczby przyznanych punktów.</w:t>
      </w:r>
    </w:p>
    <w:p>
      <w:r>
        <w:t>W przypadku gdy zgodnie z art. 99 nabywcy publiczni stosują rachunek kosztów cyklu życia, wagę przypisaną kosztom cyklu życia wlicza się do odpowiedniego udziału procentowego.</w:t>
      </w:r>
    </w:p>
    <w:p>
      <w:r>
        <w:t>W przypadku gdy nabywcy publiczni stosują kryteria środowiskowe specyficzne dla zamówień publicznych określone w przepisach Unii, o których mowa w art. 50 ust. 4 akapit drugi, w tym w aktach delegowanych przyjętych na podstawie art. 54, oraz w przypadku gdy wymogi te odnoszą się do kryteriów udzielenia zamówienia, wagę przypisaną takim względom środowiskowym wlicza się do wartości procentowych wskazanych w niniejszym ustępie. Samo spełnienie obowiązków niezwiązanych z kryteriami udzielenia zamówienia nie stanowi kryterium udzielenia zamówienia.</w:t>
      </w:r>
    </w:p>
    <w:p>
      <w:r>
        <w:t>5. Nabywcy publiczni mogą odstąpić od ust. 1 akapit drugi i od ust. 4, jeżeli jakość zamawianego produktu, usługi lub robót budowlanych można zapewnić w jeden z następujących sposobów:</w:t>
      </w:r>
    </w:p>
    <w:p>
      <w:r>
        <w:t>a) specyfikacje;</w:t>
      </w:r>
    </w:p>
    <w:p>
      <w:r>
        <w:t>b) w stosownych przypadkach, warunki realizacji zamówień;</w:t>
      </w:r>
    </w:p>
    <w:p>
      <w:r>
        <w:t>c) kombinację któregokolwiek z poniższych: oparte na jakości kryteria udzielenia zamówienia, specyfikacje i warunki realizacji zamówień.</w:t>
      </w:r>
    </w:p>
    <w:p>
      <w:r>
        <w:t>Nabywcy publiczni wskazują w publicznym podsumowaniu warunków konkurencji, który ze sposobów określonych w akapicie pierwszym uzasadnia to odstępstwo.</w:t>
      </w:r>
    </w:p>
    <w:p>
      <w:pPr>
        <w:pStyle w:val="Heading3"/>
        <w:jc w:val="center"/>
      </w:pPr>
      <w:r>
        <w:t>Artykuł 99</w:t>
      </w:r>
    </w:p>
    <w:p>
      <w:pPr>
        <w:pStyle w:val="Heading4"/>
        <w:jc w:val="center"/>
      </w:pPr>
      <w:r>
        <w:t>Rachunek kosztów cyklu życia</w:t>
      </w:r>
    </w:p>
    <w:p>
      <w:r>
        <w:t>1. W przypadku gdy nabywcy publiczni stosują rachunek kosztów cyklu życia, obejmuje on, w odpowiednim zakresie, części lub wszystkie następujące koszty w całym cyklu życia produktu, usługi lub robót budowlanych:</w:t>
      </w:r>
    </w:p>
    <w:p>
      <w:r>
        <w:t>a) koszty ponoszone przez nabywców publicznych lub inne strony w związku z zakupem rozwiązania, koszty użytkowania, zużycia energii i innych zasobów, koszty utrzymania i koszty wycofania z eksploatacji, takie jak koszty zbierania i recyklingu, w stosownych przypadkach w oparciu o odpowiednie poziomy bazowe i oceny scenariuszy;</w:t>
      </w:r>
    </w:p>
    <w:p>
      <w:r>
        <w:t>b) koszty przypisane ekologicznym i klimatycznym efektom zewnętrznym związanym z produktem, usługą lub robotami budowlanymi w trakcie ich cyklu życia, pod warunkiem że można określić i zweryfikować ich wartość pieniężną.</w:t>
      </w:r>
    </w:p>
    <w:p>
      <w:r>
        <w:t>Koszty, o których mowa w akapicie pierwszym lit. b), mogą obejmować koszty emisji gazów cieplarnianych i innych zanieczyszczeń lub inne koszty łagodzenia zmiany klimatu.</w:t>
      </w:r>
    </w:p>
    <w:p>
      <w:r>
        <w:t>2. W przypadku gdy nabywcy publiczni oceniają koszty przy użyciu podejścia opartego na rachunku kosztów cyklu życia, wskazują w szczegółach zamówienia dane, które mają przedstawić oferenci, oraz metodę, którą nabywca publiczny ma zastosować do określenia kosztów cyklu życia na podstawie tych danych.</w:t>
      </w:r>
    </w:p>
    <w:p>
      <w:r>
        <w:t>3. Metody stosowane do oceny kosztów przypisywanych ekologicznym i klimatycznym efektom zewnętrznym są dostępne dla wszystkich zainteresowanych stron i oparte na obiektywnie weryfikowalnych i niedyskryminacyjnych kryteriach. W szczególności w przypadku gdy metoda nie została ustanowiona do celów powtarzalnego lub ciągłego stosowania, nie może ona nadmiernie faworyzować ani stawiać w niekorzystnej sytuacji niektórych wykonawców.</w:t>
      </w:r>
    </w:p>
    <w:p>
      <w:pPr>
        <w:pStyle w:val="Heading3"/>
        <w:jc w:val="center"/>
      </w:pPr>
      <w:r>
        <w:t>Artykuł 100</w:t>
      </w:r>
    </w:p>
    <w:p>
      <w:pPr>
        <w:pStyle w:val="Heading4"/>
        <w:jc w:val="center"/>
      </w:pPr>
      <w:r>
        <w:t>Podział na części</w:t>
      </w:r>
    </w:p>
    <w:p>
      <w:r>
        <w:t>1. Nabywcy publiczni rozważają, czy podzielić zamówienia na części.</w:t>
      </w:r>
    </w:p>
    <w:p>
      <w:r>
        <w:t>2. Oceniając, czy zamówienie należy podzielić na części, nabywcy publiczni uwzględniają, w stosownych przypadkach, potencjalny wkład takiego podziału w zwiększenie udziału MŚP, zmniejszenie zależności od jednego dostawcy, zwiększenie odporności łańcucha dostaw i bezpieczeństwa dostaw oraz wspieranie innowacji, a także, z drugiej strony, wpływ takiego podziału na efektywność i ryzyko związane z integralnością zamówienia. W przypadku gdy podział na części nie jest obowiązkowy zgodnie z ust. 6, a nabywcy publiczni uznają, że taki podział nie jest odpowiedni, wskazują główne powody tego w szczegółach zamówienia lub w indywidualnej dokumentacji zgodnie z art. 109.</w:t>
      </w:r>
    </w:p>
    <w:p>
      <w:r>
        <w:t>3. W przypadku gdy nabywcy publiczni dzielą zamówienie na części, dokonują tego w taki sposób, aby zakres, wielkość, liczba i charakter części były proporcjonalne do przedmiotu i złożoności zamówienia.</w:t>
      </w:r>
    </w:p>
    <w:p>
      <w:r>
        <w:t>4. Nabywcy publiczni mogą udzielać zamówień na poszczególne części bez stosowania procedur przewidzianych w niniejszym rozporządzeniu, pod warunkiem że szacunkowa wartość bez VAT danej części wynosi mniej niż 80 000 EUR w przypadku dostaw lub usług lub 1 mln EUR w przypadku robót budowlanych. Łączna wartość części zamówienia udzielonych w ten sposób bez stosowania niniejszego rozporządzenia nie może jednak przekraczać 20 % łącznej wartości wszystkich części, na które podzielono proponowane roboty budowlane, proponowane nabycie podobnych dostaw lub proponowane świadczenie usług.</w:t>
      </w:r>
    </w:p>
    <w:p>
      <w:r>
        <w:t>5. Nabywcy publiczni mogą ograniczyć liczbę części, w odniesieniu do których wykonawcy mogą składać oferty. Wskazują one ten limit w szczegółach zamówienia.</w:t>
      </w:r>
    </w:p>
    <w:p>
      <w:r>
        <w:t>6. Nabywcy publiczni mogą ograniczyć liczbę części zamówienia, które mogą zostać przyznane jednemu oferentowi. W takim przypadku nabywcy publiczni podają w szczegółach zamówienia maksymalną liczbę oraz, w stosownych przypadkach, możliwe kombinacje części zamówienia. Wskazują one również w szczegółach zamówienia obiektywne i niedyskryminacyjne kryteria lub zasady, które zamierzają zastosować w celu określenia, które części zostaną udzielone, w przypadku gdy zastosowanie kryteriów udzielenia zamówienia doprowadziłoby do udzielenia jednemu oferentowi większej liczby części niż maksymalna liczba.</w:t>
      </w:r>
    </w:p>
    <w:p>
      <w:r>
        <w:t>7. Państwa członkowskie mogą postanowić, że nabywcy publiczni dzielą zamówienia na części.</w:t>
      </w:r>
    </w:p>
    <w:p>
      <w:pPr>
        <w:pStyle w:val="Heading3"/>
        <w:jc w:val="center"/>
      </w:pPr>
      <w:r>
        <w:t>Artykuł 101</w:t>
      </w:r>
    </w:p>
    <w:p>
      <w:pPr>
        <w:pStyle w:val="Heading4"/>
        <w:jc w:val="center"/>
      </w:pPr>
      <w:r>
        <w:t>Rażąco niskie oferty</w:t>
      </w:r>
    </w:p>
    <w:p>
      <w:r>
        <w:t>1. Nabywcy publiczni wymagają od oferentów wyjaśnienia ceny lub elementów ceny w ofercie, w tym w odniesieniu do jakości oferty, jeżeli wydaje się, że są one rażąco niższe od któregokolwiek z poniższych:</w:t>
      </w:r>
    </w:p>
    <w:p>
      <w:r>
        <w:t>a) cenę lub elementy ceny innej oferty lub ofert otrzymanych w postępowaniu o udzielenie zamówienia;</w:t>
      </w:r>
    </w:p>
    <w:p>
      <w:r>
        <w:t>b) ceny rynkowej, na przykład na podstawie oszacowanej przez nabywcę publicznego wartości zamówienia, w szczególności gdy opiera się ona na konsultacjach rynkowych i obejmuje wszystkie koszty, takie jak koszty pracy i warunków pracy, materiałów i logistyki, oraz koszty spełnienia innych wymogów umownych, a także inne koszty cyklu życia;</w:t>
      </w:r>
    </w:p>
    <w:p>
      <w:r>
        <w:t>c) wartości zamówień w poprzednich postępowaniach o udzielenie zamówienia o zasadniczo identycznym przedmiocie i warunkach, w szczególności w poprzednich szacunkach, ofertach lub cenach płaconych przez tego samego nabywcę publicznego lub innych nabywców publicznych.</w:t>
      </w:r>
    </w:p>
    <w:p>
      <w:r>
        <w:t>Nabywca publiczny może ograniczyć wymóg wyjaśnienia cen lub elementów ceny do oferenta, który złożył najlepszą ofertę zgodnie z art. 98, lub, w stosownych przypadkach, do kilku oferentów, którzy złożyli najlepsze oferty w rankingu.</w:t>
      </w:r>
    </w:p>
    <w:p>
      <w:r>
        <w:t>2. W wyjaśnieniach oferenta stwierdza się, że rentowność ekonomiczna ceny lub elementów ceny zawartych w ofercie nie jest rażąco niska w okresie obowiązywania umowy. Uwzględniają one niski poziom ceny, w tym elementy ceny oraz związek z jakością oferty i przestrzeganiem wszystkich obowiązków, i mogą obejmować w szczególności:</w:t>
      </w:r>
    </w:p>
    <w:p>
      <w:r>
        <w:t>ekonomiki procesu produkcyjnego, świadczonych usług lub metody budowy lub wybranych rozwiązań technicznych;</w:t>
      </w:r>
    </w:p>
    <w:p>
      <w:r>
        <w:t>b) wyjątkowo korzystne warunki, w tym pomoc państwa, jeżeli jest ona zgodna z rynkiem wewnętrznym;</w:t>
      </w:r>
    </w:p>
    <w:p>
      <w:r>
        <w:t>c) czy oferent spełnia wszystkie obowiązki regulacyjne i wymogi strategiczne zgodnie z tytułem II niniejszej części mające zastosowanie do danego zamówienia.</w:t>
      </w:r>
    </w:p>
    <w:p>
      <w:r>
        <w:t>3. Jeżeli nabywca publiczny uzna wyjaśnienia, o których mowa w ust. 2, za zadowalające, odnotowuje swoją ocenę w indywidualnej dokumentacji zgodnie z art. 109.</w:t>
      </w:r>
    </w:p>
    <w:p>
      <w:r>
        <w:t>4. W przypadku gdy wyjaśnienia, o których mowa w ust. 2, nie zostaną uznane za zadowalające, w tym po zwróceniu się o wyjaśnienia lub dodatkowe informacje, nabywca publiczny odrzuca ofertę z postępowania o udzielenie zamówienia.</w:t>
      </w:r>
    </w:p>
    <w:p>
      <w:pPr>
        <w:pStyle w:val="Heading3"/>
        <w:jc w:val="center"/>
      </w:pPr>
      <w:r>
        <w:t>Artykuł 102</w:t>
      </w:r>
    </w:p>
    <w:p>
      <w:pPr>
        <w:pStyle w:val="Heading4"/>
        <w:jc w:val="center"/>
      </w:pPr>
      <w:r>
        <w:t>Korekty w trakcie procedur i anulowanie</w:t>
      </w:r>
    </w:p>
    <w:p>
      <w:r>
        <w:t>1. Przed upływem terminu składania ofert lub rozpoczęcia negocjacji nabywcy publiczni mogą dokonywać korekt w szczegółach zamówienia bez wszczynania nowego postępowania o udzielenie zamówienia lub zmiany publicznego podsumowania warunków konkurencji, pod warunkiem że:</w:t>
      </w:r>
    </w:p>
    <w:p>
      <w:r>
        <w:t>a) korekta nie zmienia w istotny sposób przedmiotu zamówienia; oraz</w:t>
      </w:r>
    </w:p>
    <w:p>
      <w:r>
        <w:t>b) korekta jest wyraźnie wskazana w zaktualizowanych szczegółach zamówienia udostępnionych wszystkim zainteresowanym wykonawcom.</w:t>
      </w:r>
    </w:p>
    <w:p>
      <w:r>
        <w:t>Jeżeli korekty dokonuje się na mniej niż 24 godziny przed terminem składania ofert, termin ten przedłuża się o co najmniej dwa dni robocze lub więcej, jeżeli jest to uzasadnione charakterem i złożonością korekty.</w:t>
      </w:r>
    </w:p>
    <w:p>
      <w:r>
        <w:t>2. W przypadku gdy informacje lub dokumentacja przedłożone przez wykonawców są lub wydają się niekompletne lub błędne lub gdy brakuje konkretnych informacji lub dokumentacji, nabywcy publiczni mogą zapewnić zainteresowanym wykonawcom w sposób ściśle niedyskryminacyjny możliwość przedłożenia, uzupełnienia, wyjaśnienia lub uzupełnienia odpowiednich informacji lub dokumentacji w odpowiednim terminie w celu zaradzenia takiemu brakowi. Zdanie pierwsze ma zastosowanie wyłącznie do nieznacznej nieformalności lub nieprawidłowości oferty lub informacji dotyczących kwalifikowalności, jeżeli taki środek zaradczy nie zmienia w istotny sposób oferty lub informacji dotyczących kwalifikowalności.</w:t>
      </w:r>
    </w:p>
    <w:p>
      <w:r>
        <w:t>3. Nabywca publiczny unieważnia postępowanie o udzielenie zamówienia, jeżeli stwierdzi istotne błędy w postępowaniu o udzielenie zamówienia, których nie można skorygować w żaden inny sposób i które mogą zakłócić konkurencję.</w:t>
      </w:r>
    </w:p>
    <w:p>
      <w:r>
        <w:t>4. Przed podpisaniem umowy nabywca publiczny może unieważnić postępowanie o udzielenie zamówienia. W przypadku zamówień podzielonych na części lub innych form zamówień z wielu źródeł unieważnienia można dokonać częściowo. Decyzja jest uzasadniana i podawana do wiadomości oferentów tak szybko, jak to możliwe.</w:t>
      </w:r>
    </w:p>
    <w:p>
      <w:pPr>
        <w:pStyle w:val="Heading3"/>
        <w:jc w:val="center"/>
      </w:pPr>
      <w:r>
        <w:t>Artykuł 103</w:t>
      </w:r>
    </w:p>
    <w:p>
      <w:pPr>
        <w:pStyle w:val="Heading4"/>
        <w:jc w:val="center"/>
      </w:pPr>
      <w:r>
        <w:t>Umowy ramowe</w:t>
      </w:r>
    </w:p>
    <w:p>
      <w:r>
        <w:t>1. Nabywcy publiczni mogą zawierać umowy ramowe zgodnie z procedurami określonymi w tytule I niniejszej części. Przepisy niniejszego rozporządzenia dotyczące zamówień publicznych stosuje się odpowiednio do umów ramowych, chyba że niniejszy artykuł stanowi inaczej.</w:t>
      </w:r>
    </w:p>
    <w:p>
      <w:r>
        <w:t>„Umowa ramowa” oznacza umowę zawartą między co najmniej jednym nabywcą publicznym a co najmniej jednym wykonawcą w celu określenia warunków regulujących zamówienia, które mogą zostać udzielone w danym okresie.</w:t>
      </w:r>
    </w:p>
    <w:p>
      <w:r>
        <w:t>2. Okres obowiązywania umowy ramowej nie przekracza:</w:t>
      </w:r>
    </w:p>
    <w:p>
      <w:r>
        <w:t>a) trzy lata w przypadku umów ramowych z jednym wykonawcą; lub</w:t>
      </w:r>
    </w:p>
    <w:p>
      <w:r>
        <w:t>pięć lat w przypadku umów ramowych z kilkoma wykonawcami.</w:t>
      </w:r>
    </w:p>
    <w:p>
      <w:r>
        <w:t>Maksymalny okres obowiązywania umowy ramowej może zostać ustalony na dłuższy okres w wyjątkowych przypadkach, gdy jest to należycie uzasadnione złożonością lub specjalistycznym charakterem zamówienia, a czas trwania nie jest dłuższy niż jest to absolutnie niezbędne w świetle okoliczności danego zamówienia.</w:t>
      </w:r>
    </w:p>
    <w:p>
      <w:r>
        <w:t>3. Nabywca publiczny wyraża zamiar zawarcia umowy ramowej w publicznym podsumowaniu warunków konkurencji. Publiczne podsumowanie zawiera również okres obowiązywania oraz maksymalną skumulowaną wartość lub maksymalne skumulowane wolumeny zamówień, które mają zostać zawarte na podstawie umowy ramowej w okresie jej obowiązywania. Maksymalne kwoty można dostosować w publicznym podsumowaniu wyników, pod warunkiem że wszelkie dostosowania są proporcjonalne do warunków zwycięskiej oferty lub zwycięskich ofert.</w:t>
      </w:r>
    </w:p>
    <w:p>
      <w:r>
        <w:t>4. Szczegółowe informacje dotyczące zamówienia obejmują niedyskryminacyjne i obiektywne kryteria, które są stosowane przy zawieraniu kolejnych umów na podstawie umowy ramowej. W przypadku gdy umowa ramowa zawierana jest z więcej niż jednym wykonawcą, kryteria albo określają zasady ponownego poddania zamówienia procedurze konkurencyjnej pomiędzy wykonawcami będącymi stronami umowy ramowej, albo określają wszystkie warunki udzielania i wykonywania zamówień, lub ich kombinację.</w:t>
      </w:r>
    </w:p>
    <w:p>
      <w:r>
        <w:t>Nabywcy publiczni publikują publiczne podsumowanie wyników zgodnie z art. 110 w odniesieniu do każdej umowy zawartej na podstawie umowy ramowej. Okres obowiązywania umów opartych na umowie ramowej nie może przekraczać końca okresu obowiązywania umowy ramowej o więcej niż 50 % okresu obowiązywania umowy ramowej.</w:t>
      </w:r>
    </w:p>
    <w:p>
      <w:pPr>
        <w:pStyle w:val="Heading2"/>
        <w:jc w:val="center"/>
      </w:pPr>
      <w:r>
        <w:t>Rozdział 4</w:t>
      </w:r>
    </w:p>
    <w:p>
      <w:pPr>
        <w:pStyle w:val="Heading2"/>
        <w:jc w:val="center"/>
      </w:pPr>
      <w:r>
        <w:t>Realizacja umowy</w:t>
      </w:r>
    </w:p>
    <w:p>
      <w:pPr>
        <w:pStyle w:val="Heading3"/>
        <w:jc w:val="center"/>
      </w:pPr>
      <w:r>
        <w:t>Artykuł 104</w:t>
      </w:r>
    </w:p>
    <w:p>
      <w:pPr>
        <w:pStyle w:val="Heading4"/>
        <w:jc w:val="center"/>
      </w:pPr>
      <w:r>
        <w:t>Warunki realizacji zamówień</w:t>
      </w:r>
    </w:p>
    <w:p>
      <w:r>
        <w:t>1. Nabywcy publiczni mogą określić warunki związane z realizacją zamówienia, pod warunkiem że są one związane z przedmiotem zamówienia zgodnie z art. 90 i wyraźnie wskazane w szczegółach zamówienia.</w:t>
      </w:r>
    </w:p>
    <w:p>
      <w:r>
        <w:t>2. Warunki te mogą, oprócz ogólnych aspektów umownych, technicznych, jakościowych i ekonomicznych, takich jak indeksacja cen, obejmować również warunki związane ze względami strategicznymi, w tym:</w:t>
      </w:r>
    </w:p>
    <w:p>
      <w:r>
        <w:t>a) względy środowiskowe zdefiniowane w art. 50, takie jak postępowanie z odpadami, zgodność z zasadami należytej staranności w zakresie zrównoważonego rozwoju i sprawozdawczość w ramach realizacji zamówienia lub inne wymogi w gospodarce o obiegu zamkniętym;</w:t>
      </w:r>
    </w:p>
    <w:p>
      <w:r>
        <w:t>b) względy związane z zatrudnieniem, takie jak sprawiedliwe warunki pracy pracowników zatrudnionych przy wykonywaniu umowy, w tym wynagrodzenie, a także bezpieczeństwo i higiena pracy;</w:t>
      </w:r>
    </w:p>
    <w:p>
      <w:r>
        <w:t>c) inne względy społeczne określone w art. 55, takie jak wdrożenie odpowiednich procesów zapobiegawczych i łagodzących związanych z wpływem na prawa człowieka wynikającym z realizacji zamówienia;</w:t>
      </w:r>
    </w:p>
    <w:p>
      <w:r>
        <w:t>d) cele w zakresie innowacji opisane w art. 59, takie jak zachęcanie do ciągłego doskonalenia rozwiązania;</w:t>
      </w:r>
    </w:p>
    <w:p>
      <w:r>
        <w:t>e) interesy bezpieczeństwa publicznego, o których mowa w art. 66, lub wymogi w zakresie odporności i bezpieczeństwa dostaw określone w art. 69, takie jak poświadczenie bezpieczeństwa osobowego personelu, obchodzenie się z ograniczeniami lub stałe przestrzeganie i usprawnianie łańcucha dostaw.</w:t>
      </w:r>
    </w:p>
    <w:p>
      <w:pPr>
        <w:pStyle w:val="Heading3"/>
        <w:jc w:val="center"/>
      </w:pPr>
      <w:r>
        <w:t>Artykuł 105</w:t>
      </w:r>
    </w:p>
    <w:p>
      <w:pPr>
        <w:pStyle w:val="Heading4"/>
        <w:jc w:val="center"/>
      </w:pPr>
      <w:r>
        <w:t>Mechanizmy dostosowawcze</w:t>
      </w:r>
    </w:p>
    <w:p>
      <w:r>
        <w:t>1. Nabywcy publiczni mogą włączyć do szczegółowych warunków zamówienia klauzule ustanawiające mechanizmy dostosowania warunków zamówienia przez cały okres jego obowiązywania, pod warunkiem że mechanizmy te:</w:t>
      </w:r>
    </w:p>
    <w:p>
      <w:r>
        <w:t>a) są obiektywnie uzasadnione, biorąc pod uwagę charakter zamówienia;</w:t>
      </w:r>
    </w:p>
    <w:p>
      <w:r>
        <w:t>b) utrzymanie równowagi ekonomicznej umowy;</w:t>
      </w:r>
    </w:p>
    <w:p>
      <w:r>
        <w:t>klauzule są jasne, precyzyjne i jednoznaczne.</w:t>
      </w:r>
    </w:p>
    <w:p>
      <w:r>
        <w:t>2. Mechanizmy dostosowawcze, o których mowa w ust. 1, mogą w szczególności dotyczyć:</w:t>
      </w:r>
    </w:p>
    <w:p>
      <w:r>
        <w:t>a) określone z góry zasady dostosowania przychodów, w tym wahania związane z popytem lub poziomami wykorzystania;</w:t>
      </w:r>
    </w:p>
    <w:p>
      <w:r>
        <w:t>b) mechanizmy indeksacji, w tym mechanizmy powiązane z obiektywnymi wskaźnikami ekonomicznymi, takimi jak wskaźniki cen, stopy inflacji lub zmienność kosztów nakładów, np. w przypadku kluczowych materiałów;</w:t>
      </w:r>
    </w:p>
    <w:p>
      <w:r>
        <w:t>c) korekty płatności oparte na wynikach, związane z osiągnięciem celów jakościowych lub celów dotyczących wyników w odniesieniu do realizacji robót budowlanych lub świadczenia usług.</w:t>
      </w:r>
    </w:p>
    <w:p>
      <w:r>
        <w:t>3. Dostosowań umowy na podstawie takich klauzul nie uznaje się za modyfikacje zgodnie z art. 106.</w:t>
      </w:r>
    </w:p>
    <w:p>
      <w:pPr>
        <w:pStyle w:val="Heading3"/>
        <w:jc w:val="center"/>
      </w:pPr>
      <w:r>
        <w:t>Artykuł 106</w:t>
      </w:r>
    </w:p>
    <w:p>
      <w:pPr>
        <w:pStyle w:val="Heading4"/>
        <w:jc w:val="center"/>
      </w:pPr>
      <w:r>
        <w:t>Modyfikacje umów w okresie ich obowiązywania</w:t>
      </w:r>
    </w:p>
    <w:p>
      <w:r>
        <w:t>1. Nabywcy publiczni mogą modyfikować udzielone zamówienia lub zawarte umowy ramowe w okresie ich obowiązywania bez przeprowadzania nowego postępowania o udzielenie zamówienia, pod warunkiem że modyfikacja ta nie jest istotna w rozumieniu ust. 3 lub wchodzi w zakres jednego z przypadków, o których mowa w ust. 4. Wszelkie takie zmiany muszą odpowiadać obiektywnym potrzebom powstałym w trakcie wykonywania umowy, ograniczać się do tego, co jest konieczne i odpowiednie do zapewnienia jej wykonania i ciągłości, oraz nie mogą zmieniać początkowej równowagi ekonomicznej umowy na korzyść wykonawcy.</w:t>
      </w:r>
    </w:p>
    <w:p>
      <w:r>
        <w:t>2. Modyfikację, której wartość nie przekracza 15 % wartości pierwotnego zamówienia, uznaje się za nieistotną i można jej dokonać bez przeprowadzania nowego postępowania o udzielenie zamówienia, pod warunkiem że modyfikacja ta nie zmienia początkowego bilansu ekonomicznego zamówienia.</w:t>
      </w:r>
    </w:p>
    <w:p>
      <w:r>
        <w:t>W przypadku gdy wprowadzanych jest kilka kolejnych modyfikacji, progi ocenia się na podstawie skumulowanej wartości netto kolejnych modyfikacji.</w:t>
      </w:r>
    </w:p>
    <w:p>
      <w:r>
        <w:t>3. Modyfikację uznaje się za istotną, jeżeli wprowadza ona warunki, które – gdyby stanowiły część pierwotnego postępowania o udzielenie zamówienia – zmieniłyby warunki konkurencji, lub jeżeli zmienia ona istotne warunki zamówienia, takie jak zakres zamówienia, początkowa równowaga ekonomiczna na korzyść wykonawcy lub tożsamość pierwotnego wykonawcy, w przypadkach innych niż te, o których mowa w ust. 4 lit. c).</w:t>
      </w:r>
    </w:p>
    <w:p>
      <w:r>
        <w:t>4. Istotne modyfikacje w rozumieniu ust. 1 są dopuszczalne, pod warunkiem że nie zmieniają one początkowego bilansu ekonomicznego zamówienia na korzyść wykonawcy, wyłącznie w następujących przypadkach:</w:t>
      </w:r>
    </w:p>
    <w:p>
      <w:r>
        <w:t>a) w przypadku gdy w trakcie wykonywania zamówienia konieczne stały się dodatkowe roboty budowlane, usługi lub dostawy, pod warunkiem że zmiana wykonawcy nie jest wykonalna z technicznego lub ekonomicznego punktu widzenia, w tym ze względu na współzależność istniejących robót budowlanych lub usług, lub ponieważ spowodowałaby znaczny wzrost kosztów;</w:t>
      </w:r>
    </w:p>
    <w:p>
      <w:r>
        <w:t>b) w przypadku gdy zmiana jest konieczna ze względu na okoliczności, których nabywca publiczny działający z należytą starannością nie mógł racjonalnie przewidzieć w momencie wszczęcia postępowania i które mają znaczący wpływ na wykonanie lub wykonalność zamówienia, w tym:</w:t>
      </w:r>
    </w:p>
    <w:p>
      <w:r>
        <w:t>i) istotne zmiany w mających zastosowanie ramach regulacyjnych lub prawnych;</w:t>
      </w:r>
    </w:p>
    <w:p>
      <w:r>
        <w:t>ii) znaczący rozwój technologiczny;</w:t>
      </w:r>
    </w:p>
    <w:p>
      <w:r>
        <w:t>iii) zakłócenia, sytuacje nadzwyczajne lub kryzysowe o znaczących skutkach gospodarczych, społecznych lub operacyjnych;</w:t>
      </w:r>
    </w:p>
    <w:p>
      <w:r>
        <w:t>c) w przypadku gdy pierwotny wykonawca zostaje zastąpiony przez inny podmiot ze względu na:</w:t>
      </w:r>
    </w:p>
    <w:p>
      <w:r>
        <w:t>i) połączenia, przejęcia, nabycia, niewypłacalności lub innej restrukturyzacji przedsiębiorstwa inny wykonawca wstępuje, w całości lub w części, w prawa i obowiązki pierwotnego wykonawcy, pod warunkiem że nowy podmiot spełnia pierwotne kryteria kwalifikacji podmiotowej; że w umowie nie wprowadza się żadnych innych istotnych modyfikacji oraz że zastąpienie nie ma na celu obejścia stosowania niniejszego rozporządzenia; lub</w:t>
      </w:r>
    </w:p>
    <w:p>
      <w:r>
        <w:t>ii) nabywcy publicznego przejmującego zobowiązania głównego wykonawcy wobec jego podwykonawców, jeżeli jest to ewentualnie przewidziane w prawie krajowym.</w:t>
      </w:r>
    </w:p>
    <w:p>
      <w:r>
        <w:t>5. Przed zmianą umowy nabywca publiczny ustala na podstawie obiektywnych i weryfikowalnych elementów, czy spełnione są warunki określone w ust. 1. Nabywcy publiczni prowadzą szczegółową pisemną dokumentację dotyczącą istotnych elementów modyfikacji, w tym jej uzasadnienia, konieczności lub adekwatności oraz jej wpływu na równowagę gospodarczą umowy, w szczególności podziału ryzyka i korzyści gospodarczych, w celu uzasadnienia decyzji o zmianie umowy oraz umożliwienia weryfikacji zgodności z niniejszym artykułem przez właściwe organy nadzorcze, audytowe i odwoławcze.</w:t>
      </w:r>
    </w:p>
    <w:p>
      <w:r>
        <w:t>6. Przed jakąkolwiek zmianą umowy, która przekracza 50 % pierwotnej szacunkowej wartości umowy, nabywcy publiczni publikują w tym celu publiczne podsumowanie zmiany. To publiczne podsumowanie zawiera uzasadnienie modyfikacji bez przeprowadzania nowego postępowania o udzielenie zamówienia oraz informacje określone w art. 110.</w:t>
      </w:r>
    </w:p>
    <w:p>
      <w:r>
        <w:t>Kolejne modyfikacje nie mogą mieć na celu obejścia niniejszego regulaminu.</w:t>
      </w:r>
    </w:p>
    <w:p>
      <w:r>
        <w:t>Na zasadzie odstępstwa od akapitu pierwszego niniejszego ustępu obowiązek uprzedniej publikacji nie ma zastosowania, jeżeli pilny charakter wynikający z sytuacji nadzwyczajnej określonej zgodnie z art. 48 nie pozwala na uprzednią publikację publicznego podsumowania zmian. W takim przypadku nabywcy publiczni publikują publiczne podsumowanie zmiany zgodnie z ust. 7 niniejszego artykułu.</w:t>
      </w:r>
    </w:p>
    <w:p>
      <w:r>
        <w:t>7. W przypadku gdy nabywcy publiczni wprowadzają istotne zmiany w zamówieniu zgodnie z ust. 4 niniejszego artykułu, a zmiana nie przekracza 50 % pierwotnej szacunkowej wartości zamówienia, publikują oni publiczne podsumowanie zmiany zawierające informacje określone w art. 110 w terminie 20 dni od daty wprowadzenia zmiany.</w:t>
      </w:r>
    </w:p>
    <w:p>
      <w:r>
        <w:t>8. Do celów obliczania wartości, o której mowa w ust. 2, 6 i 7, zaktualizowana wartość jest wartością odniesienia, jeżeli umowa zawiera klauzulę indeksacji. Jeżeli umowa nie zawiera klauzuli indeksacji, zaktualizowaną wartość oblicza się z uwzględnieniem średniej inflacji w państwie członkowskim nabywcy publicznego.</w:t>
      </w:r>
    </w:p>
    <w:p>
      <w:r>
        <w:t>9. Modyfikacji umowy nie stosuje się w celu usunięcia niedociągnięć w realizacji zamówienia przez wykonawcę, które nie są uzasadnione okolicznościami, na które wykonawca nie ma wpływu.</w:t>
      </w:r>
    </w:p>
    <w:p>
      <w:pPr>
        <w:pStyle w:val="Heading3"/>
        <w:jc w:val="center"/>
      </w:pPr>
      <w:r>
        <w:t>Artykuł 107</w:t>
      </w:r>
    </w:p>
    <w:p>
      <w:pPr>
        <w:pStyle w:val="Heading4"/>
        <w:jc w:val="center"/>
      </w:pPr>
      <w:r>
        <w:t>Rozwiązanie umowy</w:t>
      </w:r>
    </w:p>
    <w:p>
      <w:r>
        <w:t>Bez uszczerbku dla innych podstaw do rozwiązania umowy przewidzianych w niniejszej ustawie lub w mającym zastosowanie prawie krajowym nabywcy publiczni rozwiązują umowę, jeżeli:</w:t>
      </w:r>
    </w:p>
    <w:p>
      <w:r>
        <w:t>a) wykonawca zostaje prawomocnie skazany z powodu jednej z przyczyn, o których mowa w art. 25, z wyjątkiem sytuacji, gdy nabywca publiczny ustali, że takie zakończenie postępowania nie jest uzasadnione nadrzędnym interesem publicznym, a prawomocny wyrok tego nie wyklucza;</w:t>
      </w:r>
    </w:p>
    <w:p>
      <w:r>
        <w:t>zamówienie lub jego modyfikacja nie powinny były zostać udzielone wykonawcy ze względu na poważne naruszenie zobowiązań wynikających z Traktatów i niniejszego rozporządzenia, które zostało stwierdzone przez Trybunał Sprawiedliwości Unii Europejskiej w ramach procedury przewidzianej w art. 258 Traktatu.</w:t>
      </w:r>
    </w:p>
    <w:p>
      <w:pPr>
        <w:pStyle w:val="Heading3"/>
        <w:jc w:val="center"/>
      </w:pPr>
      <w:r>
        <w:t>Artykuł 108</w:t>
      </w:r>
    </w:p>
    <w:p>
      <w:pPr>
        <w:pStyle w:val="Heading4"/>
        <w:jc w:val="center"/>
      </w:pPr>
      <w:r>
        <w:t>Płatności</w:t>
      </w:r>
    </w:p>
    <w:p>
      <w:r>
        <w:t>1. Bez uszczerbku dla swoich obowiązków wynikających z dyrektywy Parlamentu Europejskiego i Rady 2011/7/UE[67] nabywcy publiczni zapewniają terminowe płatności na rzecz wykonawców i, w stosownych przypadkach, podwykonawców.</w:t>
      </w:r>
    </w:p>
    <w:p>
      <w:r>
        <w:t>2. W ramach warunków realizacji zamówienia zgodnie z art. 104 nabywcy publiczni mogą przewidzieć, że wykonawcy spełniają równoważne warunki płatności w łańcuchu dostaw określone w odpowiednich przepisach dyrektywy Parlamentu Europejskiego i Rady 2011/7/UE.</w:t>
      </w:r>
    </w:p>
    <w:p>
      <w:r>
        <w:t>3. Państwa członkowskie dostarczają, za pośrednictwem krajowej przestrzeni danych dotyczących zamówień publicznych (NPPDS), informacje na temat statusu płatności związanych z każdym konkretnym zamówieniem, którego to dotyczy, zgodnie z art. 134 ust. 4.</w:t>
      </w:r>
    </w:p>
    <w:p>
      <w:r>
        <w:t>4. Państwa członkowskie udostępniają informacje o zamówieniach dotyczące zgodności z wymogami w zakresie szybkich płatności za każdy roczny okres sprawozdawczy w odniesieniu do każdego nabywcy publicznego zgodnie z art. 134 ust. 4.</w:t>
      </w:r>
    </w:p>
    <w:p>
      <w:r>
        <w:t>5. Oprócz art. 44 ust. 6 nabywcy publiczni mogą przewidzieć zaliczki w szczegółach zamówienia, w szczególności w celu zachęcenia MŚP do udziału. W przypadku gdy dane zamówienie ma szczególne znaczenie dla kwestii innowacji określonych w tytule II rozdział 3 niniejszej części i chyba że jest to uzasadnione nadrzędnym interesem nabywcy publicznego, nabywcy publiczni zapewniają wykonawcy odpowiednią zaliczkę.</w:t>
      </w:r>
    </w:p>
    <w:p>
      <w:r>
        <w:t>6. Na wniosek podwykonawcy i jeżeli pozwala na to charakter zamówienia, nabywca publiczny przekazuje bezpośrednio podwykonawcy należne płatności za usługi, dostawy lub roboty budowlane wykonane na rzecz głównego wykonawcy. Stosowne środki mogą obejmować odpowiednie mechanizmy umożliwiające głównemu wykonawcy zgłaszanie zastrzeżeń co do nienależnych płatności. Ustalenia dotyczące tego sposobu płatności określa się w szczegółach zamówienia.</w:t>
      </w:r>
    </w:p>
    <w:p>
      <w:r>
        <w:rPr>
          <w:sz w:val="16"/>
        </w:rPr>
        <w:t>67 Dyrektywa Parlamentu Europejskiego i Rady 2011/7/UE z dnia 16 lutego 2011 r. w sprawie zwalczania opóźnień w płatnościach w transakcjach handlowych (wersja przekształcona) (Dz.U. L 48 z 23.2.2011, s. 1, ELI: http://data.europa.eu/eli/dir/2011/7/oj).</w:t>
      </w:r>
    </w:p>
    <w:p>
      <w:pPr>
        <w:pStyle w:val="Heading2"/>
        <w:jc w:val="center"/>
      </w:pPr>
      <w:r>
        <w:t>Rozdział 5</w:t>
      </w:r>
    </w:p>
    <w:p>
      <w:pPr>
        <w:pStyle w:val="Heading2"/>
        <w:jc w:val="center"/>
      </w:pPr>
      <w:r>
        <w:t>Zasady publikacji i dokumentacji</w:t>
      </w:r>
    </w:p>
    <w:p>
      <w:pPr>
        <w:pStyle w:val="Heading3"/>
        <w:jc w:val="center"/>
      </w:pPr>
      <w:r>
        <w:t>Artykuł 109</w:t>
      </w:r>
    </w:p>
    <w:p>
      <w:pPr>
        <w:pStyle w:val="Heading4"/>
        <w:jc w:val="center"/>
      </w:pPr>
      <w:r>
        <w:t>Indywidualna dokumentacja procedur</w:t>
      </w:r>
    </w:p>
    <w:p>
      <w:r>
        <w:t>1. Nabywcy publiczni rejestrują w usłudze e-zamówień nabywcy publicznego i udostępniają w NPPDS zgodnie z art. 134 dokumentację niezbędną do uzasadnienia decyzji podjętych na wszystkich etapach postępowania o udzielenie zamówienia, w szczególności dokumentację dotyczącą komunikacji z wykonawcami, w tym ewentualnych negocjacji, oraz wewnętrzne decyzje dotyczące przygotowania lub korekty szczegółów zamówienia, w tym po ewentualnych negocjacjach, w zakresie wyboru wykonawców i udzielenia zamówienia. Dokumentację przechowuje się przez okres co najmniej trzech lat od daty udzielenia zamówienia, z wyjątkiem przypadków, gdy mające zastosowanie prawo Unii lub prawo krajowe wymaga dłuższego okresu.</w:t>
      </w:r>
    </w:p>
    <w:p>
      <w:r>
        <w:t>2. Informacje dotyczące zamówień i decyzje dotyczące zamówień są rejestrowane i zarządzane w sposób umożliwiający identyfikację ich pochodzenia, ewolucji, uzasadnienia i historii zatwierdzenia w całym ich cyklu życia.</w:t>
      </w:r>
    </w:p>
    <w:p>
      <w:r>
        <w:t>3. Nabywcy publiczni uwzględniają w swojej dokumentacji wszelkie stwierdzone konflikty interesów, naruszenia integralności i znaczące ryzyko dla bezpieczeństwa lub bezpieczeństwa publicznego mające wpływ na postępowania o udzielenie zamówienia lub realizację umowy, a także podjęte środki ograniczające ryzyko.</w:t>
      </w:r>
    </w:p>
    <w:p>
      <w:pPr>
        <w:pStyle w:val="Heading3"/>
        <w:jc w:val="center"/>
      </w:pPr>
      <w:r>
        <w:t>Artykuł 110</w:t>
      </w:r>
    </w:p>
    <w:p>
      <w:pPr>
        <w:pStyle w:val="Heading4"/>
        <w:jc w:val="center"/>
      </w:pPr>
      <w:r>
        <w:t>Informacje dotyczące publikacji w podsumowaniach publicznych</w:t>
      </w:r>
    </w:p>
    <w:p>
      <w:r>
        <w:t>1. Nabywcy publiczni publikują informacje zgodnie z art. 112 wraz ze wszystkimi następującymi podsumowaniami publicznymi:</w:t>
      </w:r>
    </w:p>
    <w:p>
      <w:r>
        <w:t>konsultacje;</w:t>
      </w:r>
    </w:p>
    <w:p>
      <w:r>
        <w:t>b) konkurencji;</w:t>
      </w:r>
    </w:p>
    <w:p>
      <w:r>
        <w:t>c) wynik;</w:t>
      </w:r>
    </w:p>
    <w:p>
      <w:r>
        <w:t>d) umowy;</w:t>
      </w:r>
    </w:p>
    <w:p>
      <w:r>
        <w:t>e) modyfikacja;</w:t>
      </w:r>
    </w:p>
    <w:p>
      <w:r>
        <w:t>f) zakończenie.</w:t>
      </w:r>
    </w:p>
    <w:p>
      <w:r>
        <w:t>2. Publikacja publicznego podsumowania konsultacji, o którym mowa w art. 30, zawiera wszystkie następujące informacje:</w:t>
      </w:r>
    </w:p>
    <w:p>
      <w:r>
        <w:t>a) wskazanie organizacji istotnych dla konsultacji; oraz</w:t>
      </w:r>
    </w:p>
    <w:p>
      <w:r>
        <w:t>b) cel konsultacji, w tym metody, warunki komunikacji i składania wniosków;</w:t>
      </w:r>
    </w:p>
    <w:p>
      <w:r>
        <w:t>c) inne niezbędne informacje dotyczące konsultacji.</w:t>
      </w:r>
    </w:p>
    <w:p>
      <w:r>
        <w:t>3. Publikacja publicznego podsumowania dotyczącego konkurencji, o którym mowa w art. 34, 37, 42, 49 i 103, zawiera wszystkie następujące informacje:</w:t>
      </w:r>
    </w:p>
    <w:p>
      <w:r>
        <w:t>a) identyfikację organizacji istotnych dla procedury;</w:t>
      </w:r>
    </w:p>
    <w:p>
      <w:r>
        <w:t>b) cel procedury, w tym metody, warunki przekazywania informacji i składania ofert;</w:t>
      </w:r>
    </w:p>
    <w:p>
      <w:r>
        <w:t>c) opis zamówienia, w tym charakter, ilość lub szacunkową ilość oraz harmonogram zakupów;</w:t>
      </w:r>
    </w:p>
    <w:p>
      <w:r>
        <w:t>d) okres ważności procedury;</w:t>
      </w:r>
    </w:p>
    <w:p>
      <w:r>
        <w:t>e) postanowienia umowne;</w:t>
      </w:r>
    </w:p>
    <w:p>
      <w:r>
        <w:t>f) w stosownych przypadkach wskazanie strategicznego charakteru zamówienia, takiego jak osiągnięcie celów środowiskowych, społecznych lub innowacyjnych, a także przydatności zamówienia dla MŚP;</w:t>
      </w:r>
    </w:p>
    <w:p>
      <w:r>
        <w:t>g) Zasięg GPA;</w:t>
      </w:r>
    </w:p>
    <w:p>
      <w:r>
        <w:t>h) inne niezbędne informacje dotyczące konkurencji.</w:t>
      </w:r>
    </w:p>
    <w:p>
      <w:r>
        <w:t>4. Publikacja publicznego podsumowania wyników, o którym mowa w art. 40, 44, 46, 49, 103 i 111, zawiera następujące informacje:</w:t>
      </w:r>
    </w:p>
    <w:p>
      <w:r>
        <w:t>a) identyfikację organizacji istotnych dla procedury;</w:t>
      </w:r>
    </w:p>
    <w:p>
      <w:r>
        <w:t>b) cel procedury;</w:t>
      </w:r>
    </w:p>
    <w:p>
      <w:r>
        <w:t>c) wynik procedury, w tym unieważnienie;</w:t>
      </w:r>
    </w:p>
    <w:p>
      <w:r>
        <w:t>d) w przypadku zamówień udzielonych na podstawie art. 46: uzasadnienie decyzji nabywcy publicznego o udzieleniu zamówienia zgodnie z tym przepisem;</w:t>
      </w:r>
    </w:p>
    <w:p>
      <w:r>
        <w:t>e) w przypadku zamówień udzielonych na podstawie art. 46: opis wniosku zawarty w zaproszeniu do negocjacji, wniosku o złożenie oferty lub wniosku o dostarczenie rozwiązania na podstawie faktury;</w:t>
      </w:r>
    </w:p>
    <w:p>
      <w:r>
        <w:t>f) w stosownych przypadkach wskazanie strategicznego charakteru zamówienia, takiego jak osiągnięcie celów środowiskowych, społecznych lub innowacyjnych, a także wskazanie udziału MŚP;</w:t>
      </w:r>
    </w:p>
    <w:p>
      <w:r>
        <w:t>g) Zasięg GPA; oraz</w:t>
      </w:r>
    </w:p>
    <w:p>
      <w:r>
        <w:t>h) inne niezbędne informacje dotyczące wyniku.</w:t>
      </w:r>
    </w:p>
    <w:p>
      <w:r>
        <w:t>5. Publikacja publicznego podsumowania umowy o zmianie lub uzupełnieniu, jak określono w art. 106, 111 i 125, zawiera wszystkie następujące informacje, stosownie do przypadku:</w:t>
      </w:r>
    </w:p>
    <w:p>
      <w:r>
        <w:t>a) wskazanie organizacji istotnych dla zamówienia;</w:t>
      </w:r>
    </w:p>
    <w:p>
      <w:r>
        <w:t>b) cel umowy;</w:t>
      </w:r>
    </w:p>
    <w:p>
      <w:r>
        <w:t>c) wszelkie informacje o zamówieniu opublikowane zgodnie z niniejszym ustępem i zmienione w wyniku modyfikacji;</w:t>
      </w:r>
    </w:p>
    <w:p>
      <w:r>
        <w:t>d) powody zmiany;</w:t>
      </w:r>
    </w:p>
    <w:p>
      <w:r>
        <w:t>e) wynik umowy, w tym informacje o rozwiązaniu umowy;</w:t>
      </w:r>
    </w:p>
    <w:p>
      <w:r>
        <w:t>f) inne niezbędne informacje dotyczące umowy, zmiany lub uzupełnienia.</w:t>
      </w:r>
    </w:p>
    <w:p>
      <w:r>
        <w:t>6. Komisja jest uprawniona do przyjęcia aktu delegowanego zgodnie z art. 141 w celu zmiany informacji zawartych w każdym publicznym podsumowaniu, o którym mowa w ust. 2–6 niniejszego artykułu, zgodnie z potrzebami w zakresie wdrażania.</w:t>
      </w:r>
    </w:p>
    <w:p>
      <w:r>
        <w:t>7. Komisja jest uprawniona do przyjmowania aktów wykonawczych doprecyzowujących konkretne informacje, które muszą być zawarte w każdym podsumowaniu publicznym opisanym w ust. 2–6, ustanawiających połączenie podsumowań publicznych i kolejność poszczególnych informacji zawartych w wielu podsumowaniach publicznych oraz ustanawiających wymogi dla nabywców publicznych dotyczące ponownego wykorzystania informacji już podanych w podsumowaniu publicznym, a także wymogi dla dostawców usług e-zamówień dotyczące świadczenia odpowiedniej usługi ponownego wykorzystania. Te akty wykonawcze przyjmuje się zgodnie z procedurą doradczą, o której mowa w art. 143 ust. 2.</w:t>
      </w:r>
    </w:p>
    <w:p>
      <w:pPr>
        <w:pStyle w:val="Heading3"/>
        <w:jc w:val="center"/>
      </w:pPr>
      <w:r>
        <w:t>Artykuł 111</w:t>
      </w:r>
    </w:p>
    <w:p>
      <w:pPr>
        <w:pStyle w:val="Heading4"/>
        <w:jc w:val="center"/>
      </w:pPr>
      <w:r>
        <w:t>Publikacja publicznego podsumowania wyników, umowy i zakończenia</w:t>
      </w:r>
    </w:p>
    <w:p>
      <w:r>
        <w:t>1. Nabywcy publiczni przesyłają następujące informacje dotyczące zamówienia zgodnie z art. 110 nie później niż 20 dni:</w:t>
      </w:r>
    </w:p>
    <w:p>
      <w:r>
        <w:t>a) po zakończeniu konsultacji rynkowych, wydaniu decyzji o udzieleniu zamówienia lub unieważnieniu postępowania o udzielenie zamówienia lub zgodnie z art. 40, 44, 46, 49 i 103 nabywcy publiczni przesyłają publiczne podsumowanie wyników;</w:t>
      </w:r>
    </w:p>
    <w:p>
      <w:r>
        <w:t>b) po zawarciu umowy, w przypadku gdy poprzednie postępowanie o udzielenie zamówienia wchodziło w zakres niniejszego rozporządzenia, nabywcy publiczni przesyłają publiczne podsumowanie umowy;</w:t>
      </w:r>
    </w:p>
    <w:p>
      <w:r>
        <w:t>c) po zakończeniu realizacji zamówienia, w przypadku gdy poprzednie postępowanie o udzielenie zamówienia wchodziło w zakres niniejszego rozporządzenia, nabywcy publiczni przesyłają publiczne podsumowanie zakończenia, w tym od dnia odpowiedniego wydarzenia, w przypadku gdy udzielone zamówienie nie zostało zawarte lub gdy realizacja zamówienia nie została zakończona, w tym z powodu rozwiązania umowy zgodnie z art. 107 i 126, od dnia odpowiedniego wydarzenia.</w:t>
      </w:r>
    </w:p>
    <w:p>
      <w:r>
        <w:t>2. Z publikacji można wyłączyć niektóre informacje, jeżeli ich ujawnienie mogłoby utrudnić egzekwowanie prawa lub byłoby w inny sposób sprzeczne z interesem publicznym, mogłoby zaszkodzić uzasadnionym interesom handlowym konkretnego wykonawcy publicznego lub prywatnego, mogłoby zaszkodzić uczciwej konkurencji między wykonawcami. Informacje takie przekazuje się jednak jednocześnie do NPPDS zgodnie z art. 134 jako informacje niedostępne publicznie.</w:t>
      </w:r>
    </w:p>
    <w:p>
      <w:r>
        <w:t>3. Nabywcy publiczni zapewniają pełne, prawidłowe i terminowe przekazywanie informacji o zamówieniach do NPPDS zgodnie z art. 134.</w:t>
      </w:r>
    </w:p>
    <w:p>
      <w:pPr>
        <w:pStyle w:val="Heading3"/>
        <w:jc w:val="center"/>
      </w:pPr>
      <w:r>
        <w:t>Artykuł 112</w:t>
      </w:r>
    </w:p>
    <w:p>
      <w:pPr>
        <w:pStyle w:val="Heading4"/>
        <w:jc w:val="center"/>
      </w:pPr>
      <w:r>
        <w:t>Forma i sposób publikacji</w:t>
      </w:r>
    </w:p>
    <w:p>
      <w:r>
        <w:t>1. Publiczne podsumowania, o których mowa w art. 110, w tym zmiany informacji, są przesyłane przez nabywców publicznych za pośrednictwem NPPDS do Urzędu Publikacji Unii Europejskiej i publikowane w Suplemencie do Dziennika Urzędowego Unii Europejskiej nie później niż pięć dni po jego otrzymaniu, chyba że nabywca publiczny zwróci się o późniejszą datę publikacji. Informacje uznaje się za otrzymane przez Urząd Publikacji Unii Europejskiej dopiero po ich zatwierdzeniu zgodnie z technicznymi wymogami walidacji ustanowionymi przez Unię.</w:t>
      </w:r>
    </w:p>
    <w:p>
      <w:r>
        <w:t>2. Urząd Publikacji Unii Europejskiej zapewnia udostępnianie publicznych podsumowań, o których mowa w art. 110:</w:t>
      </w:r>
    </w:p>
    <w:p>
      <w:r>
        <w:t>a) jako jedyny autentyczny tekst w co najmniej jednym z języków urzędowych Unii podany przez nabywcę publicznego; oraz</w:t>
      </w:r>
    </w:p>
    <w:p>
      <w:r>
        <w:t>b) jako wersje nieautentyczne w innych językach urzędowych Unii oprócz tekstu autentycznego.</w:t>
      </w:r>
    </w:p>
    <w:p>
      <w:r>
        <w:t>3. Nabywcy publiczni muszą być w stanie przedstawić dowód potwierdzający datę przesłania ich informacji do publikacji.</w:t>
      </w:r>
    </w:p>
    <w:p>
      <w:r>
        <w:t>4. Urząd Publikacji Unii Europejskiej wydaje NPPDS potwierdzenie otrzymania i publikacji przesłanych publicznych podsumowań, wskazując datę publikacji. NPPDS przekazuje nabywcy publicznemu takie potwierdzenie, które stanowi dowód publikacji.</w:t>
      </w:r>
    </w:p>
    <w:p>
      <w:r>
        <w:t>5. Nabywcy publiczni mogą publikować podsumowania zamówień publicznych, które nie podlegają wymogom publikacji określonym w niniejszym rozporządzeniu, pod warunkiem że zostaną one przesłane do Urzędu Publikacji Unii Europejskiej zgodnie z niniejszym artykułem.</w:t>
      </w:r>
    </w:p>
    <w:p>
      <w:r>
        <w:t>6. Koszty odbioru, zatwierdzenia i publikacji podsumowań publicznych przez Urząd Publikacji Unii Europejskiej ponosi Unia.</w:t>
      </w:r>
    </w:p>
    <w:p>
      <w:r>
        <w:t>7. Komisja jest uprawniona do przyjmowania aktów wykonawczych określających szczegóły dotyczące dostarczania Urzędowi Publikacji Unii Europejskiej podsumowań publicznych oraz źródła wymogów walidacji technicznej, o których mowa w ust. 1. Akty wykonawcze przyjmuje się zgodnie z procedurą doradczą, o której mowa w art. 143 ust. 2.</w:t>
      </w:r>
    </w:p>
    <w:p>
      <w:pPr>
        <w:pStyle w:val="Heading3"/>
        <w:jc w:val="center"/>
      </w:pPr>
      <w:r>
        <w:t>Artykuł 113</w:t>
      </w:r>
    </w:p>
    <w:p>
      <w:pPr>
        <w:pStyle w:val="Heading4"/>
        <w:jc w:val="center"/>
      </w:pPr>
      <w:r>
        <w:t>Publikacja na poziomie krajowym</w:t>
      </w:r>
    </w:p>
    <w:p>
      <w:r>
        <w:t>1. Informacji, o których mowa w art. 110 lub akcie wykonawczym przyjętym na podstawie art. 110 ust. 7, nie publikuje się na szczeblu krajowym przed publikacją na podstawie art. 112. Publikacja może jednak mieć miejsce w każdym przypadku na szczeblu krajowym, jeżeli nabywcy publiczni nie zostali powiadomieni o publikacji w ciągu 48 godzin od potwierdzenia otrzymania informacji zgodnie z art. 112.</w:t>
      </w:r>
    </w:p>
    <w:p>
      <w:r>
        <w:t>2. W informacjach publikowanych na poziomie krajowym wskazuje się datę przesłania tych informacji do Urzędu Publikacji Unii Europejskiej, a także identyfikator informacji dotyczących postępowania o udzielenie zamówienia publikowanych na podstawie art. 112.</w:t>
      </w:r>
    </w:p>
    <w:p>
      <w:pPr>
        <w:pStyle w:val="Heading2"/>
        <w:jc w:val="center"/>
      </w:pPr>
      <w:r>
        <w:t>Część IV</w:t>
      </w:r>
    </w:p>
    <w:p>
      <w:pPr>
        <w:pStyle w:val="Heading2"/>
        <w:jc w:val="center"/>
      </w:pPr>
      <w:r>
        <w:t>Koncesje</w:t>
      </w:r>
    </w:p>
    <w:p>
      <w:pPr>
        <w:pStyle w:val="Heading2"/>
        <w:jc w:val="center"/>
      </w:pPr>
      <w:r>
        <w:t>Tytuł I</w:t>
      </w:r>
    </w:p>
    <w:p>
      <w:pPr>
        <w:pStyle w:val="Heading2"/>
        <w:jc w:val="center"/>
      </w:pPr>
      <w:r>
        <w:t>Przepisy ogólne</w:t>
      </w:r>
    </w:p>
    <w:p>
      <w:pPr>
        <w:pStyle w:val="Heading3"/>
        <w:jc w:val="center"/>
      </w:pPr>
      <w:r>
        <w:t>Artykuł 114</w:t>
      </w:r>
    </w:p>
    <w:p>
      <w:pPr>
        <w:pStyle w:val="Heading4"/>
        <w:jc w:val="center"/>
      </w:pPr>
      <w:r>
        <w:t>Zakres stosowania</w:t>
      </w:r>
    </w:p>
    <w:p>
      <w:r>
        <w:t>1. Niniejsza część ma zastosowanie do koncesji na wykonanie robót budowlanych i świadczenie usług określonych w art. 115.</w:t>
      </w:r>
    </w:p>
    <w:p>
      <w:r>
        <w:t>2. O ile przepisy niniejszej części nie stanowią inaczej, wszystkie przepisy niniejszego rozporządzenia mające zastosowanie do zamówień publicznych mają zastosowanie do koncesji.</w:t>
      </w:r>
    </w:p>
    <w:p>
      <w:pPr>
        <w:pStyle w:val="Heading3"/>
        <w:jc w:val="center"/>
      </w:pPr>
      <w:r>
        <w:t>Artykuł 115</w:t>
      </w:r>
    </w:p>
    <w:p>
      <w:pPr>
        <w:pStyle w:val="Heading4"/>
        <w:jc w:val="center"/>
      </w:pPr>
      <w:r>
        <w:t>Definicja i charakterystyka koncesji</w:t>
      </w:r>
    </w:p>
    <w:p>
      <w:r>
        <w:t>1. Do celów niniejszego rozporządzenia zastosowanie ma następująca definicja:</w:t>
      </w:r>
    </w:p>
    <w:p>
      <w:r>
        <w:t>a) „koncesja” oznacza umowę o charakterze odpłatnym, niezależnie od jej formalnego wyznaczenia, w której co najmniej jeden nabywca publiczny powierza wykonanie robót budowlanych lub świadczenie usług i zarządzanie nimi co najmniej jednemu wykonawcy („koncesjonariuszowi”) na rzecz użytkowników i która spełnia następujące warunki:</w:t>
      </w:r>
    </w:p>
    <w:p>
      <w:r>
        <w:t>wynagrodzenie koncesjonariusza stanowi albo wyłącznie prawo do eksploatacji obiektów budowlanych lub świadczenia usług będących przedmiotem umowy, albo takie prawo wraz z płatnością ze strony nabywcy publicznego; oraz</w:t>
      </w:r>
    </w:p>
    <w:p>
      <w:r>
        <w:t>ii) wiąże się ona z przeniesieniem na koncesjonariusza ryzyka operacyjnego związanego z eksploatacją tych robót budowlanych lub świadczeniem tych usług, na które nabywca publiczny byłby narażony, gdyby sam miał wykonać roboty budowlane lub świadczyć usługi.</w:t>
      </w:r>
    </w:p>
    <w:p>
      <w:r>
        <w:t>b) Koncesja przewiduje możliwe do wyegzekwowania na drodze prawnej zobowiązania, zgodnie z którymi nabywca publiczny określa charakter, zakres i warunki realizacji robót budowlanych lub świadczenia usług i zarządzania nimi poprzez ustanowienie szczególnych wymogów w celu zapewnienia, aby koncesjonariusz wykonywał te zadania w dążeniu do osiągnięcia celów określonych przez tego nabywcę publicznego i spełniał te wymogi przez cały okres obowiązywania koncesji.</w:t>
      </w:r>
    </w:p>
    <w:p>
      <w:r>
        <w:t>c) Przedmiotem koncesji jest wykonanie tych robót budowlanych lub świadczenie tych usług i nie może ona polegać jedynie na uprawnieniu wszystkich wykonawców spełniających określone warunki do wykonania danego zadania bez żadnej selektywności.</w:t>
      </w:r>
    </w:p>
    <w:p>
      <w:r>
        <w:t>Umowy, których jedynym lub dominującym przedmiotem jest przyznanie prawa do zajmowania lub eksploatacji domeny publicznej lub zasobów publicznych, w tym dzierżawy lub innych praw związanych z własnością publiczną, a także praw drogi lub innych pozwoleń umożliwiających korzystanie z domeny publicznej na potrzeby rozwoju infrastruktury lub sieci, w odniesieniu do których nabywca publiczny ustanawia jedynie ogólne warunki użytkowania bez powierzania wykonania określonych robót budowlanych lub świadczenia określonych usług, nie stanowią koncesji w rozumieniu niniejszego rozporządzenia.</w:t>
      </w:r>
    </w:p>
    <w:p>
      <w:r>
        <w:t>2. Do celów ust. 1 „ryzyko operacyjne” oznacza ryzyko, że koncesjonariusz nie odzyska, w normalnych warunkach eksploatacji, poniesionych inwestycji i kosztów związanych z wykonaniem robót budowlanych lub świadczeniem usług będących przedmiotem koncesji i zarządzaniem nimi, tak aby koncesjonariusz ponosił ryzyko strat związanych z wykonaniem koncesji, takich jak ryzyko związane z niepewnością wpływającą na popyt, przychody, koszty operacyjne, dostępność, warunki techniczne i operacyjne lub wykonanie. Ryzyko operacyjne wiąże się z rzeczywistą ekspozycją na zmieniające się warunki rynkowe, a wszelkie potencjalne szacowane straty ponoszone przez koncesjonariusza nie mogą być ekonomicznie nieistotne.</w:t>
      </w:r>
    </w:p>
    <w:p>
      <w:pPr>
        <w:pStyle w:val="Heading3"/>
        <w:jc w:val="center"/>
      </w:pPr>
      <w:r>
        <w:t>Artykuł 116</w:t>
      </w:r>
    </w:p>
    <w:p>
      <w:pPr>
        <w:pStyle w:val="Heading4"/>
        <w:jc w:val="center"/>
      </w:pPr>
      <w:r>
        <w:t>Mieszane umowy koncesyjne</w:t>
      </w:r>
    </w:p>
    <w:p>
      <w:r>
        <w:t>1. Oprócz art. 86 i 87 system prawny mający zastosowanie do umów zawierających elementy koncesji i innych zamówień publicznych („mieszane umowy koncesji”) określa się zgodnie z ust. 2 i 3 niniejszego artykułu.</w:t>
      </w:r>
    </w:p>
    <w:p>
      <w:r>
        <w:t>2. W przypadku gdy poszczególne części mieszanej umowy koncesji można obiektywnie rozdzielić, ale nie są one zamawiane oddzielnie przez nabywcę publicznego, mieszanej umowy koncesji udziela się zgodnie z częścią III.</w:t>
      </w:r>
    </w:p>
    <w:p>
      <w:r>
        <w:t>3. W przypadku gdy poszczególnych części mieszanej umowy koncesji nie można w obiektywny sposób rozdzielić, mający zastosowanie system prawny określa się na podstawie głównego przedmiotu tej umowy.</w:t>
      </w:r>
    </w:p>
    <w:p>
      <w:r>
        <w:t>W przypadku gdy takie zamówienie zawiera elementy koncesji na usługi i zamówienia na dostawy, główny przedmiot tego zamówienia określa się zgodnie z wyższą z szacowanych wartości odpowiednich usług lub dostaw.</w:t>
      </w:r>
    </w:p>
    <w:p>
      <w:pPr>
        <w:pStyle w:val="Heading3"/>
        <w:jc w:val="center"/>
      </w:pPr>
      <w:r>
        <w:t>Artykuł 117</w:t>
      </w:r>
    </w:p>
    <w:p>
      <w:pPr>
        <w:pStyle w:val="Heading4"/>
        <w:jc w:val="center"/>
      </w:pPr>
      <w:r>
        <w:t>Wyłączone koncesje</w:t>
      </w:r>
    </w:p>
    <w:p>
      <w:r>
        <w:t>1. Oprócz wyłączeń przewidzianych w części III tytuł II rozdział 1, niniejsze rozporządzenie nie ma zastosowania do następujących koncesji:</w:t>
      </w:r>
    </w:p>
    <w:p>
      <w:r>
        <w:t>a) w odniesieniu do usług transportu lotniczego świadczonych na podstawie koncesji w rozumieniu rozporządzenia Parlamentu Europejskiego i Rady (WE) nr 1008/2008[68];</w:t>
      </w:r>
    </w:p>
    <w:p>
      <w:r>
        <w:t>b) usług publicznych w zakresie transportu pasażerskiego w rozumieniu rozporządzenia (WE) nr 1370/2007;</w:t>
      </w:r>
    </w:p>
    <w:p>
      <w:r>
        <w:t>do zapewniania lub obsługi stałych sieci przeznaczonych do świadczenia usług dla odbiorców publicznych w związku z produkcją, transportem lub dystrybucją wody pitnej lub do dostarczania wody pitnej do takich sieci;</w:t>
      </w:r>
    </w:p>
    <w:p>
      <w:r>
        <w:t>d) mające jeden lub oba z następujących przedmiotów, jeżeli są one związane z działalnością, o której mowa w lit. c):</w:t>
      </w:r>
    </w:p>
    <w:p>
      <w:r>
        <w:t>i) projektów inżynierii wodnej, nawadniania lub odwadniania gruntów, pod warunkiem że ilość wody wykorzystywanej do dostarczania wody pitnej stanowi ponad 20 % całkowitej ilości wody udostępnionej w ramach tych projektów lub instalacji do nawadniania lub odwadniania;</w:t>
      </w:r>
    </w:p>
    <w:p>
      <w:r>
        <w:t>ii) usuwania lub oczyszczania ścieków;</w:t>
      </w:r>
    </w:p>
    <w:p>
      <w:r>
        <w:t>e) na usługi loteryjne objęte kodem CPV 92351100-7, przyznane przez państwo członkowskie wykonawcy na podstawie prawa wyłącznego;</w:t>
      </w:r>
    </w:p>
    <w:p>
      <w:r>
        <w:t>f) przyznane wykonawcy na podstawie prawa wyłącznego przyznanego zgodnie z Traktatem i przepisami Unii ustanawiającymi wspólne zasady dostępu do rynku mającymi zastosowanie do rodzajów działalności, o których mowa w załączniku III, chyba że te przepisy Unii nie przewidują sektorowych obowiązków w zakresie przejrzystości, w którym to przypadku zastosowanie ma art. 20.</w:t>
      </w:r>
    </w:p>
    <w:p>
      <w:r>
        <w:t>2. W przypadku gdy państwo członkowskie przyznaje wykonawcy wyłączne prawo do wykonywania jednego z rodzajów działalności, o których mowa w załączniku IV, informuje o tym Komisję w terminie jednego miesiąca od przyznania tego wyłącznego prawa.</w:t>
      </w:r>
    </w:p>
    <w:p>
      <w:r>
        <w:rPr>
          <w:sz w:val="16"/>
        </w:rPr>
        <w:t>68 Rozporządzenie Parlamentu Europejskiego i Rady (WE) nr 1008/2008 z dnia 24 września 2008 r. w sprawie wspólnych zasad wykonywania przewozów lotniczych na terenie Wspólnoty (wersja przekształcona), Dz.U. L 293 z 31.10.2008, s. 3, ELI: http://data.europa.eu/eli/reg/2008/1008/oj).</w:t>
      </w:r>
    </w:p>
    <w:p>
      <w:pPr>
        <w:pStyle w:val="Heading3"/>
        <w:jc w:val="center"/>
      </w:pPr>
      <w:r>
        <w:t>Artykuł 118</w:t>
      </w:r>
    </w:p>
    <w:p>
      <w:pPr>
        <w:pStyle w:val="Heading4"/>
        <w:jc w:val="center"/>
      </w:pPr>
      <w:r>
        <w:t>Próg i oszacowanie wartości koncesji</w:t>
      </w:r>
    </w:p>
    <w:p>
      <w:r>
        <w:t>1. Niniejsze rozporządzenie ma zastosowanie do koncesji, których szacunkowa wartość jest równa progowi określonemu w art. 2 ust. 1 lit. a) lub wyższa.</w:t>
      </w:r>
    </w:p>
    <w:p>
      <w:r>
        <w:t>2. Szacunkową wartością koncesji jest przewidywany całkowity obrót, bez VAT, jaki koncesjonariusz może osiągnąć w maksymalnym okresie obowiązywania koncesji, oszacowanym przez nabywcę publicznego, w zamian za roboty budowlane i usługi będące przedmiotem koncesji oraz za dostawy związane z takimi robotami budowlanymi i usługami.</w:t>
      </w:r>
    </w:p>
    <w:p>
      <w:r>
        <w:t>3. Szacunkową wartość koncesji oblicza się przy użyciu obiektywnej metody określonej w szczegółach zamówienia. Przy obliczaniu szacunkowej wartości koncesji nabywcy publiczni uwzględniają w stosownych przypadkach w szczególności:</w:t>
      </w:r>
    </w:p>
    <w:p>
      <w:r>
        <w:t>a) wartość wszelkich opcji i każde przedłużenie okresu obowiązywania koncesji;</w:t>
      </w:r>
    </w:p>
    <w:p>
      <w:r>
        <w:t>b) dochody z opłat i grzywien uiszczanych przez użytkowników robót budowlanych lub usług, inne niż opłaty i grzywny pobierane w imieniu nabywcy publicznego;</w:t>
      </w:r>
    </w:p>
    <w:p>
      <w:r>
        <w:t>płatności lub wszelkie korzyści finansowe w jakiejkolwiek formie przyznane koncesjonariuszowi przez nabywcę publicznego lub jakikolwiek inny organ publiczny, w tym rekompensatę za wykonywanie obowiązku świadczenia usługi publicznej i publiczne dotacje na inwestycje;</w:t>
      </w:r>
    </w:p>
    <w:p>
      <w:r>
        <w:t>wartość dotacji lub wszelkich innych korzyści finansowych, niezależnie od ich formy, przyznanych przez osoby trzecie na realizację koncesji;</w:t>
      </w:r>
    </w:p>
    <w:p>
      <w:r>
        <w:t>e) przychody ze sprzedaży aktywów wchodzących w skład koncesji;</w:t>
      </w:r>
    </w:p>
    <w:p>
      <w:r>
        <w:t>wartość wszystkich dostaw i usług oddanych do dyspozycji koncesjonariusza przez nabywców publicznych, pod warunkiem że są one niezbędne do wykonania robót budowlanych lub świadczenia usług;</w:t>
      </w:r>
    </w:p>
    <w:p>
      <w:r>
        <w:t>g) wszelkie nagrody, płatności, rekompensaty lub zwroty przyznane wykonawcom w związku z postępowaniem o udzielenie koncesji.</w:t>
      </w:r>
    </w:p>
    <w:p>
      <w:pPr>
        <w:pStyle w:val="Heading2"/>
        <w:jc w:val="center"/>
      </w:pPr>
      <w:r>
        <w:t>Tytuł II</w:t>
      </w:r>
    </w:p>
    <w:p>
      <w:pPr>
        <w:pStyle w:val="Heading2"/>
        <w:jc w:val="center"/>
      </w:pPr>
      <w:r>
        <w:t>Przygotowanie, projekt i procedura</w:t>
      </w:r>
    </w:p>
    <w:p>
      <w:pPr>
        <w:pStyle w:val="Heading3"/>
        <w:jc w:val="center"/>
      </w:pPr>
      <w:r>
        <w:t>Artykuł 119</w:t>
      </w:r>
    </w:p>
    <w:p>
      <w:pPr>
        <w:pStyle w:val="Heading4"/>
        <w:jc w:val="center"/>
      </w:pPr>
      <w:r>
        <w:t>Zobowiązania umowne związane z potrzebami publicznymi</w:t>
      </w:r>
    </w:p>
    <w:p>
      <w:r>
        <w:t>1. Nabywcy publiczni określają w szczegółach zamówienia obowiązkowe warunki regulujące realizację koncesji, które uznają za niezbędne, z uwzględnieniem charakteru i przedmiotu danych robót budowlanych lub usług, w tym warunki mające na celu zapewnienie ciągłości, jakości, dostępności, bezpieczeństwa i skuteczności robót budowlanych i usług świadczonych na rzecz użytkowników.</w:t>
      </w:r>
    </w:p>
    <w:p>
      <w:r>
        <w:t>2. W stosownych przypadkach obowiązkowe warunki regulujące realizację koncesji, o których mowa w ust. 1, ustanawia się jako jasne, obiektywne i wymierne wymogi dotyczące realizacji, w tym wskaźniki odnoszące się do:</w:t>
      </w:r>
    </w:p>
    <w:p>
      <w:r>
        <w:t>a) jakość usług;</w:t>
      </w:r>
    </w:p>
    <w:p>
      <w:r>
        <w:t>b) dostępność i ciągłość usługi;</w:t>
      </w:r>
    </w:p>
    <w:p>
      <w:r>
        <w:t>c) efektywność i niezawodność;</w:t>
      </w:r>
    </w:p>
    <w:p>
      <w:r>
        <w:t>d) zrównoważony rozwój i odporność.</w:t>
      </w:r>
    </w:p>
    <w:p>
      <w:r>
        <w:t>3. W przypadku gdy wymogi dotyczące wyników ustanowiono zgodnie z ust. 2, szczegółowe informacje dotyczące zamówienia umożliwiają skuteczne monitorowanie wyników i mogą w szczególności obejmować mające zastosowanie kluczowe wskaźniki skuteczności działania, metody monitorowania i weryfikacji wyników oraz, w stosownych przypadkach, konsekwencje wyników w zakresie wyników, w tym zachęty lub odliczenia.</w:t>
      </w:r>
    </w:p>
    <w:p>
      <w:pPr>
        <w:pStyle w:val="Heading3"/>
        <w:jc w:val="center"/>
      </w:pPr>
      <w:r>
        <w:t>Artykuł 120</w:t>
      </w:r>
    </w:p>
    <w:p>
      <w:pPr>
        <w:pStyle w:val="Heading4"/>
        <w:jc w:val="center"/>
      </w:pPr>
      <w:r>
        <w:t>Ustrukturyzowana ocena ryzyka</w:t>
      </w:r>
    </w:p>
    <w:p>
      <w:r>
        <w:t>1. Przed wszczęciem postępowania o udzielenie koncesji nabywcy publiczni przeprowadzają ocenę głównych ryzyk gospodarczych związanych z realizacją koncesji, biorąc pod uwagę charakter, czas trwania i cechy ekonomiczne danych robót budowlanych lub usług.</w:t>
      </w:r>
    </w:p>
    <w:p>
      <w:r>
        <w:t>W ocenie określa się główne kategorie ryzyka związanego z realizacją koncesji, rozróżniając z jednej strony ryzyko operacyjne związane z eksploatacją obiektów budowlanych lub wykonywaniem usług oraz narażeniem na niepewność rynku, a z drugiej strony ogólne ryzyko umowne. W ocenie ryzyka określa się, na podstawie obiektywnych elementów, podział ryzyka między stronami.</w:t>
      </w:r>
    </w:p>
    <w:p>
      <w:r>
        <w:t>2. W szczegółach zamówienia można przewidzieć mechanizmy dostosowawcze zgodnie z art. 125, mające na celu realokację lub ograniczenie ryzyka między stronami w razie potrzeby, z uwzględnieniem charakteru tego ryzyka. Istnienie takich mechanizmów samo w sobie nie wyklucza zakwalifikowania umowy jako koncesji, pod warunkiem że koncesjonariusz nadal ponosi ryzyko operacyjne związane z eksploatacją obiektów budowlanych i wykonywaniem usług.</w:t>
      </w:r>
    </w:p>
    <w:p>
      <w:pPr>
        <w:pStyle w:val="Heading3"/>
        <w:jc w:val="center"/>
      </w:pPr>
      <w:r>
        <w:t>Artykuł 121</w:t>
      </w:r>
    </w:p>
    <w:p>
      <w:pPr>
        <w:pStyle w:val="Heading4"/>
        <w:jc w:val="center"/>
      </w:pPr>
      <w:r>
        <w:t>Parametry służące do oceny efektywności</w:t>
      </w:r>
    </w:p>
    <w:p>
      <w:r>
        <w:t>1. Nabywcy publiczni włączają do umów koncesji postanowienia mające na celu zapewnienie długoterminowej efektywności robót budowlanych lub usług, w tym poprzez promowanie zrównoważenia środowiskowego i innowacji technologicznych przez cały okres obowiązywania koncesji.</w:t>
      </w:r>
    </w:p>
    <w:p>
      <w:r>
        <w:t>Postanowienia, o których mowa w akapicie pierwszym, są bezpośrednio związane z realizacją koncesji i mogą w szczególności obejmować wymogi dotyczące wkładu w realizację celów związanych ze środowiskiem i klimatem zgodnie z art. 50 lub wymogi dotyczące wspierania rozwoju technologicznego i innowacji, a także ciągłego doskonalenia usług.</w:t>
      </w:r>
    </w:p>
    <w:p>
      <w:r>
        <w:t>2. Nabywcy publiczni, w stosownych przypadkach, włączają do umów koncesji postanowienia mające na celu zapewnienie bezpieczeństwa, odporności i ciągłości robót budowlanych lub usług przez cały okres obowiązywania koncesji.</w:t>
      </w:r>
    </w:p>
    <w:p>
      <w:r>
        <w:t>Przepisy te są bezpośrednio związane z realizacją koncesji i mogą w szczególności obejmować wymogi zapewniające ciągłość usług kluczowych w warunkach zakłóceń, obowiązki w zakresie zarządzania ryzykiem mającym wpływ na bezpieczeństwo i odporność operacyjną oraz środki ochrony infrastruktury krytycznej, systemów lub danych krytycznych lub zabezpieczenia w zakresie cyberbezpieczeństwa.</w:t>
      </w:r>
    </w:p>
    <w:p>
      <w:r>
        <w:t>3. Nabywcy publiczni zawierają w umowach koncesji postanowienia zobowiązujące koncesjonariuszy do prowadzenia odpowiedniej dokumentacji przez pięć lat od daty udzielenia koncesji oraz mechanizmy sprawozdawcze umożliwiające nabywcy publicznemu monitorowanie wykonania i realizacji koncesji, weryfikację zgodności z zobowiązaniami umownymi i prawnymi oraz umożliwienie weryfikacji zgodności przez właściwe organy nadzorcze, audytowe i odwoławcze.</w:t>
      </w:r>
    </w:p>
    <w:p>
      <w:r>
        <w:t>Przepisy te mogą w szczególności dotyczyć kompletności, dokładności i integralności dokumentacji, okresowych informacji na temat działania oraz terminowego zgłaszania incydentów mających wpływ na działanie lub zgodność z wymogami prawnymi, wymogami bezpieczeństwa lub wymogami środowiskowymi.</w:t>
      </w:r>
    </w:p>
    <w:p>
      <w:r>
        <w:t>4. W przypadku gdy wykonanie koncesji wiąże się z prawami do aktywów, infrastruktury lub własności publicznej niezbędnych do wykonywania koncesji, nabywcy publiczni zapewniają, aby ustalenia umowne, dotyczące własności lub wykorzystania, dotyczące przekazania, zwrotu lub przejęcia tych aktywów po wygaśnięciu lub rozwiązaniu koncesji były jasne, proporcjonalne, niedyskryminujące i określone w szczegółach zamówienia. Uzgodnienia te nie mogą tworzyć nieuzasadnionych barier dla konkurencji ani nadmiernie faworyzować zasiedziałego koncesjonariusza i zapewniają, aby następca operatora był w stanie kontynuować wykonywanie koncesji na skutecznych i niedyskryminujących warunkach.</w:t>
      </w:r>
    </w:p>
    <w:p>
      <w:r>
        <w:t>W szczegółach zamówienia można w szczególności określić warunki regulujące wykorzystanie, przekazanie lub zwrot aktywów po wygaśnięciu lub rozwiązaniu umowy, w tym dotyczące należnego odszkodowania, oraz warunki dotyczące przekazania lub przejęcia personelu.</w:t>
      </w:r>
    </w:p>
    <w:p>
      <w:pPr>
        <w:pStyle w:val="Heading3"/>
        <w:jc w:val="center"/>
      </w:pPr>
      <w:r>
        <w:t>Artykuł 122</w:t>
      </w:r>
    </w:p>
    <w:p>
      <w:pPr>
        <w:pStyle w:val="Heading4"/>
        <w:jc w:val="center"/>
      </w:pPr>
      <w:r>
        <w:t>Okres obowiązywania koncesji</w:t>
      </w:r>
    </w:p>
    <w:p>
      <w:r>
        <w:t>1. Okres obowiązywania koncesji jest ograniczony do okresu niezbędnego koncesjonariuszowi do odzyskania nakładów inwestycyjnych poniesionych w związku z eksploatacją obiektów budowlanych lub wykonywaniem usług, wraz ze zwrotem z zainwestowanego kapitału w normalnych warunkach eksploatacji, z uwzględnieniem inwestycji niezbędnych do osiągnięcia konkretnych celów umownych.</w:t>
      </w:r>
    </w:p>
    <w:p>
      <w:r>
        <w:t>2. Okres ważności koncesji określa się z uwzględnieniem przedmiotu koncesji oraz interesu publicznego w zachowaniu konkurencji i dostępu do rynku.</w:t>
      </w:r>
    </w:p>
    <w:p>
      <w:r>
        <w:t>3. Określając okres obowiązywania koncesji, nabywca publiczny bierze pod uwagę:</w:t>
      </w:r>
    </w:p>
    <w:p>
      <w:r>
        <w:t>inwestycje niezbędne do wykonania koncesji, zarówno na początku, jak i przez cały okres jej obowiązywania, w tym inwestycje w infrastrukturę, sprzęt i własność intelektualną;</w:t>
      </w:r>
    </w:p>
    <w:p>
      <w:r>
        <w:t>b) koszty eksploatacji i utrzymania związane z eksploatacją obiektów budowlanych lub wykonywaniem usług;</w:t>
      </w:r>
    </w:p>
    <w:p>
      <w:r>
        <w:t>podział ryzyka między stronami, pod warunkiem że okres obowiązywania koncesji nie powoduje wyeliminowania ryzyka operacyjnego ponoszonego przez koncesjonariusza;</w:t>
      </w:r>
    </w:p>
    <w:p>
      <w:r>
        <w:t>d) obowiązkowe warunki regulujące realizację koncesji;</w:t>
      </w:r>
    </w:p>
    <w:p>
      <w:r>
        <w:t>e) oczekiwane przychody i okres racjonalnie niezbędny koncesjonariuszowi do odzyskania inwestycji i kosztów operacyjnych wraz z rozsądnym zyskiem;</w:t>
      </w:r>
    </w:p>
    <w:p>
      <w:r>
        <w:t>f) potrzebę zapewnienia okresowego podlegania konkurencji.</w:t>
      </w:r>
    </w:p>
    <w:p>
      <w:r>
        <w:t>W stosownych przypadkach okres obowiązywania koncesji uwzględnia również oczekiwany technologiczny, regulacyjny i środowiskowy cykl życia związany z przedmiotem koncesji.</w:t>
      </w:r>
    </w:p>
    <w:p>
      <w:r>
        <w:t>Określenie okresu obowiązywania koncesji nie może skutkować gwarancją uzyskania przez koncesjonariusza z góry określonego lub minimalnego zwrotu z zainwestowanego kapitału. Koncesja może zostać udzielona na okres krótszy niż wymagany do odzyskania inwestycji, pod warunkiem że żadne ustalenia finansowe związane z tym okresem, w tym rekompensata lub gwarancje, nie eliminują ani znacząco nie zmniejszają ryzyka operacyjnego ponoszonego przez koncesjonariusza.</w:t>
      </w:r>
    </w:p>
    <w:p>
      <w:r>
        <w:t>4. Nabywca publiczny może określić okres obowiązywania koncesji w szczegółach zamówienia lub może postanowić, że okres ten stanowi część oferty.</w:t>
      </w:r>
    </w:p>
    <w:p>
      <w:r>
        <w:t>5. W przypadku gdy czas trwania stanowi część oferty, w szczegółach zamówienia określa się:</w:t>
      </w:r>
    </w:p>
    <w:p>
      <w:r>
        <w:t>a) metodę określania okresu obowiązywania koncesji, w tym minimalny lub maksymalny okres obowiązywania lub dopuszczalny zakres;</w:t>
      </w:r>
    </w:p>
    <w:p>
      <w:r>
        <w:t>b) zasady dotyczące oceny i weryfikacji okresu zaproponowanego przez oferentów, w tym związku między tym okresem a:</w:t>
      </w:r>
    </w:p>
    <w:p>
      <w:r>
        <w:t>i) inwestycje, które mają zostać dokonane;</w:t>
      </w:r>
    </w:p>
    <w:p>
      <w:r>
        <w:t>ii) strukturę finansową koncesji;</w:t>
      </w:r>
    </w:p>
    <w:p>
      <w:r>
        <w:t>iii) podział ryzyka;</w:t>
      </w:r>
    </w:p>
    <w:p>
      <w:r>
        <w:t>iv) równowaga ekonomiczna koncesji;</w:t>
      </w:r>
    </w:p>
    <w:p>
      <w:r>
        <w:t>c) zakres, w jakim proponowany czas trwania stanowi kryterium udzielenia zamówienia.</w:t>
      </w:r>
    </w:p>
    <w:p>
      <w:r>
        <w:t>6. Nabywca publiczny może zawrzeć w szczegółach zamówienia postanowienia umożliwiające ewentualne dostosowanie, przedłużenie, skrócenie lub warunkowe określenie okresu obowiązywania koncesji.</w:t>
      </w:r>
    </w:p>
    <w:p>
      <w:r>
        <w:t>Wszelkie mechanizmy umożliwiające dostosowanie, przedłużenie, skrócenie lub warunkowe określenie okresu obowiązywania koncesji muszą spełniać następujące wymogi:</w:t>
      </w:r>
    </w:p>
    <w:p>
      <w:r>
        <w:t>a) są określone w sposób jasny, precyzyjny i jednoznaczny w szczegółach zamówienia;</w:t>
      </w:r>
    </w:p>
    <w:p>
      <w:r>
        <w:t>b) określają warunki, na jakich takie dostosowania mogą mieć miejsce, mającą zastosowanie metodę i maksymalny okres obowiązywania koncesji, z uwzględnieniem czynników, o których mowa w ust. 3.</w:t>
      </w:r>
    </w:p>
    <w:p>
      <w:r>
        <w:t>Wszelkie dostosowania okresu obowiązywania koncesji, które nie są przewidziane w szczegółach zamówienia lub nie są wdrażane zgodnie z metodyką i warunkami określonymi zgodnie z akapitem drugim lit. b), stanowią modyfikację koncesji i podlegają przepisom art. 125.</w:t>
      </w:r>
    </w:p>
    <w:p>
      <w:pPr>
        <w:pStyle w:val="Heading3"/>
        <w:jc w:val="center"/>
      </w:pPr>
      <w:r>
        <w:t>Artykuł 123</w:t>
      </w:r>
    </w:p>
    <w:p>
      <w:pPr>
        <w:pStyle w:val="Heading4"/>
        <w:jc w:val="center"/>
      </w:pPr>
      <w:r>
        <w:t>Procedury udzielania koncesji</w:t>
      </w:r>
    </w:p>
    <w:p>
      <w:r>
        <w:t>1. Nabywcy publiczni udzielają koncesji zgodnie z procedurami przewidzianymi w niniejszym rozporządzeniu.</w:t>
      </w:r>
    </w:p>
    <w:p>
      <w:r>
        <w:t>2. Publiczne podsumowanie konkursu o udzielenie koncesji zgodnie z art. 34 zawiera ponadto podsumowanie następujących informacji:</w:t>
      </w:r>
    </w:p>
    <w:p>
      <w:r>
        <w:t>a) główne składniki szacunkowej wartości koncesji, w tym szacunkowe koszty inwestycji i przychody operacyjne;</w:t>
      </w:r>
    </w:p>
    <w:p>
      <w:r>
        <w:t>b) podział kluczowych ryzyk, w tym, w stosownych przypadkach, ryzyka związanego z popytem, konstrukcją i ryzyka regulacyjnego.</w:t>
      </w:r>
    </w:p>
    <w:p>
      <w:pPr>
        <w:pStyle w:val="Heading2"/>
        <w:jc w:val="center"/>
      </w:pPr>
      <w:r>
        <w:t>Tytuł III</w:t>
      </w:r>
    </w:p>
    <w:p>
      <w:pPr>
        <w:pStyle w:val="Heading2"/>
        <w:jc w:val="center"/>
      </w:pPr>
      <w:r>
        <w:t>Zarządzanie koncesjami</w:t>
      </w:r>
    </w:p>
    <w:p>
      <w:pPr>
        <w:pStyle w:val="Heading3"/>
        <w:jc w:val="center"/>
      </w:pPr>
      <w:r>
        <w:t>Artykuł 124</w:t>
      </w:r>
    </w:p>
    <w:p>
      <w:pPr>
        <w:pStyle w:val="Heading4"/>
        <w:jc w:val="center"/>
      </w:pPr>
      <w:r>
        <w:t>Mechanizmy dostosowawcze</w:t>
      </w:r>
    </w:p>
    <w:p>
      <w:r>
        <w:t>1. Nabywcy publiczni mogą zawrzeć w szczegółach zamówienia klauzule ustanawiające mechanizmy dostosowania warunków koncesji przez cały okres jej obowiązywania, pod warunkiem że mechanizmy te:</w:t>
      </w:r>
    </w:p>
    <w:p>
      <w:r>
        <w:t>a) są obiektywnie uzasadnione charakterem, okresem obowiązywania i profilem ryzyka koncesji;</w:t>
      </w:r>
    </w:p>
    <w:p>
      <w:r>
        <w:t>utrzymanie równowagi ekonomicznej koncesji;</w:t>
      </w:r>
    </w:p>
    <w:p>
      <w:r>
        <w:t>c) zachować przeniesienie ryzyka operacyjnego na koncesjonariusza;</w:t>
      </w:r>
    </w:p>
    <w:p>
      <w:r>
        <w:t>klauzule są jasne, precyzyjne i jednoznaczne.</w:t>
      </w:r>
    </w:p>
    <w:p>
      <w:r>
        <w:t>2. Mechanizmy dostosowawcze, o których mowa w ust. 1, mogą w szczególności dotyczyć:</w:t>
      </w:r>
    </w:p>
    <w:p>
      <w:r>
        <w:t>a) określone z góry zasady dostosowania przychodów, w tym wahania związane z popytem lub poziomami wykorzystania;</w:t>
      </w:r>
    </w:p>
    <w:p>
      <w:r>
        <w:t>b) mechanizmy indeksacji, w tym mechanizmy powiązane z obiektywnymi wskaźnikami ekonomicznymi, takimi jak wskaźniki cen, stopy inflacji lub zmienność kosztów nakładów, np. w przypadku kluczowych materiałów;</w:t>
      </w:r>
    </w:p>
    <w:p>
      <w:r>
        <w:t>c) korekty płatności oparte na wynikach, związane z osiągnięciem celów jakościowych lub celów dotyczących wyników w odniesieniu do realizacji robót budowlanych lub świadczenia usług;</w:t>
      </w:r>
    </w:p>
    <w:p>
      <w:r>
        <w:t>3. Dostosowań umowy na podstawie takich klauzul nie uznaje się za modyfikacje zgodnie z art. 125.</w:t>
      </w:r>
    </w:p>
    <w:p>
      <w:pPr>
        <w:pStyle w:val="Heading3"/>
        <w:jc w:val="center"/>
      </w:pPr>
      <w:r>
        <w:t>Artykuł 125</w:t>
      </w:r>
    </w:p>
    <w:p>
      <w:pPr>
        <w:pStyle w:val="Heading4"/>
        <w:jc w:val="center"/>
      </w:pPr>
      <w:r>
        <w:t>Zmiany koncesji w okresie ich obowiązywania</w:t>
      </w:r>
    </w:p>
    <w:p>
      <w:r>
        <w:t>1. Nabywcy publiczni mogą modyfikować koncesje w okresie ich obowiązywania bez przeprowadzania nowego postępowania o udzielenie zamówienia, pod warunkiem że modyfikacja ta nie jest istotna w rozumieniu ust. 3 lub wchodzi w zakres jednego z przypadków, o których mowa w ust. 4. Wszelkie takie modyfikacje odpowiadają obiektywnym potrzebom powstałym w trakcie wykonywania koncesji, ograniczają się do tego, co jest konieczne i odpowiednie do zapewnienia jej wykonania i ciągłości, oraz nie zmieniają początkowej równowagi ekonomicznej koncesji na korzyść koncesjonariusza.</w:t>
      </w:r>
    </w:p>
    <w:p>
      <w:r>
        <w:t>2. Modyfikację, której wartość nie przekracza 15 % wartości pierwotnej koncesji, uznaje się za nieistotną i można jej dokonać bez przeprowadzania nowego postępowania o udzielenie zamówienia, pod warunkiem że modyfikacja ta nie zmienia początkowego bilansu ekonomicznego koncesji.</w:t>
      </w:r>
    </w:p>
    <w:p>
      <w:r>
        <w:t>W przypadku gdy wprowadzanych jest kilka kolejnych modyfikacji, progi ocenia się na podstawie skumulowanej wartości netto kolejnych modyfikacji.</w:t>
      </w:r>
    </w:p>
    <w:p>
      <w:r>
        <w:t>3. Modyfikację uznaje się za istotną, jeżeli wprowadza ona warunki, które – gdyby stanowiły część pierwotnego postępowania o udzielenie zamówienia – zmieniłyby warunki konkurencji, lub jeżeli zmienia ona istotne warunki umowy, takie jak zakres koncesji, zobowiązania umowne określone zgodnie z art. 119, początkowa równowaga ekonomiczna na korzyść koncesjonariusza lub tożsamość pierwotnego koncesjonariusza, w przypadkach innych niż te, o których mowa w ust. 4 lit. c).</w:t>
      </w:r>
    </w:p>
    <w:p>
      <w:r>
        <w:t>4. Istotne modyfikacje, o których mowa w ust. 1, są dopuszczalne, pod warunkiem że nie zmieniają one początkowego bilansu ekonomicznego koncesji na korzyść wykonawcy, w następujących przypadkach:</w:t>
      </w:r>
    </w:p>
    <w:p>
      <w:r>
        <w:t>a) w przypadku gdy w trakcie wykonywania koncesji niezbędne stają się dodatkowe roboty budowlane, usługi lub dostawy, pod warunkiem że zmiana koncesjonariusza nie jest wykonalna z technicznego lub ekonomicznego punktu widzenia, w tym ze względu na współzależność istniejących robót budowlanych lub usług, lub ponieważ spowodowałaby znaczny wzrost kosztów;</w:t>
      </w:r>
    </w:p>
    <w:p>
      <w:r>
        <w:t>b) w przypadku gdy modyfikacja jest konieczna ze względu na okoliczności, których nabywca publiczny działający z należytą starannością nie mógł w sposób racjonalny przewidzieć w momencie wszczęcia postępowania o udzielenie koncesji i które mają znaczący wpływ na realizację lub wykonalność koncesji, w tym:</w:t>
      </w:r>
    </w:p>
    <w:p>
      <w:r>
        <w:t>i) istotne zmiany w mających zastosowanie ramach regulacyjnych lub prawnych;</w:t>
      </w:r>
    </w:p>
    <w:p>
      <w:r>
        <w:t>ii) znaczący rozwój technologiczny;</w:t>
      </w:r>
    </w:p>
    <w:p>
      <w:r>
        <w:t>iii) zakłócenia, sytuacje nadzwyczajne lub kryzysowe o znaczących skutkach gospodarczych, społecznych lub operacyjnych;</w:t>
      </w:r>
    </w:p>
    <w:p>
      <w:r>
        <w:t>c) w przypadku gdy pierwotny koncesjonariusz zostaje zastąpiony przez inny podmiot ze względu na:</w:t>
      </w:r>
    </w:p>
    <w:p>
      <w:r>
        <w:t>a) połączenia, przejęcia, nabycia, niewypłacalności lub innej restrukturyzacji przedsiębiorstwa, w przypadku gdy inny wykonawca wstępuje, w całości lub w części, w prawa i obowiązki pierwotnego koncesjonariusza, pod warunkiem że nowy podmiot spełnia pierwotne kryteria kwalifikacji podmiotowej; aby w koncesji nie wprowadzano żadnych innych istotnych modyfikacji oraz aby zastąpienie nie miało na celu obejścia stosowania niniejszego rozporządzenia;</w:t>
      </w:r>
    </w:p>
    <w:p>
      <w:r>
        <w:t>nabywca publiczny przejmujący zobowiązania głównego koncesjonariusza wobec jego podwykonawców, jeżeli jest to ewentualnie przewidziane w prawie krajowym.</w:t>
      </w:r>
    </w:p>
    <w:p>
      <w:r>
        <w:t>5. Przed zmianą koncesji nabywca publiczny ustala na podstawie obiektywnych i weryfikowalnych elementów, czy spełnione są warunki określone w ust. 1. Nabywcy publiczni prowadzą szczegółową pisemną dokumentację dotyczącą istotnych elementów modyfikacji, w tym jej uzasadnienia, konieczności lub adekwatności oraz jej wpływu na równowagę gospodarczą umowy, w szczególności na alokację korzyści gospodarczych i ryzyka operacyjnego w ramach koncesji, aby uzasadnić decyzje o zmianie koncesji i umożliwić weryfikację zgodności z niniejszym artykułem przez właściwe organy nadzorcze, audytowe i odwoławcze.</w:t>
      </w:r>
    </w:p>
    <w:p>
      <w:r>
        <w:t>6. Przed jakąkolwiek modyfikacją koncesji, która przekracza 50 % wartości pierwotnej koncesji, nabywcy publiczni publikują w tym celu publiczne podsumowanie modyfikacji. To publiczne podsumowanie zawiera uzasadnienie modyfikacji bez nowego zamówienia oraz informacje określone w art. 110. Kolejne modyfikacje nie mogą mieć na celu obejścia niniejszego regulaminu.</w:t>
      </w:r>
    </w:p>
    <w:p>
      <w:r>
        <w:t>Na zasadzie odstępstwa od akapitu pierwszego niniejszego ustępu obowiązek uprzedniej publikacji nie ma zastosowania, jeżeli pilny charakter wynikający z sytuacji nadzwyczajnej określonej zgodnie z art. 48 nie pozwala na uprzednią publikację publicznego podsumowania zmian. W takim przypadku nabywcy publiczni publikują publiczne podsumowanie zmiany zgodnie z ust. 7 niniejszego artykułu.</w:t>
      </w:r>
    </w:p>
    <w:p>
      <w:r>
        <w:t>7. W przypadku gdy nabywcy publiczni znacząco modyfikują koncesję na warunkach określonych w ust. 5, a modyfikacja nie przekracza 50 % wartości pierwotnej koncesji, publikują oni publiczne podsumowanie modyfikacji zawierające informacje określone w art. 110 w terminie 20 dni od daty dokonania modyfikacji. W przypadku wprowadzenia kilku kolejnych modyfikacji, które nie przekraczają 50 % wartości pierwotnej koncesji, obowiązek ten ma zastosowanie do każdej modyfikacji. Kolejne modyfikacje nie mogą mieć na celu obejścia niniejszego regulaminu.</w:t>
      </w:r>
    </w:p>
    <w:p>
      <w:r>
        <w:t>8. W przypadku gdy nienależyte wykonanie koncesji lub niewykonanie przez koncesjonariusza robót budowlanych lub usług zagraża ciągłości świadczenia usługi kluczowej świadczonej na podstawie koncesji i określonej w dokumencie koncesji, nabywcy publiczni mogą przyjąć absolutnie niezbędne środki tymczasowe lub wymagać ich przyjęcia w celu zapewnienia nieprzerwanego świadczenia tej usługi. Nabywcy publiczni zapewniają, aby środki te ograniczały się do tego, co jest obiektywnie niezbędne do utrzymania ciągłości usługi kluczowej, były proporcjonalne do powagi zakłócenia i nie prowadziły do zmiany równowagi ekonomicznej koncesji ani do przeniesienia ryzyka operacyjnego z koncesjonariusza na nabywców publicznych, z wyjątkiem zakresu absolutnie niezbędnego do zapewnienia tymczasowej kontynuacji usługi kluczowej.</w:t>
      </w:r>
    </w:p>
    <w:p>
      <w:r>
        <w:t>9. Do celów obliczania wartości, o której mowa w ust. 2, 6 i 7, zaktualizowana wartość jest wartością odniesienia, jeżeli umowa zawiera klauzulę indeksacji. Jeżeli umowa nie zawiera klauzuli indeksacji, zaktualizowaną wartość oblicza się z uwzględnieniem średniej inflacji w państwie członkowskim nabywcy publicznego.</w:t>
      </w:r>
    </w:p>
    <w:p>
      <w:r>
        <w:t>10. Modyfikacje umowy koncesyjnej nie mogą być wykorzystywane do usuwania niedociągnięć w wykonywaniu obowiązków przez koncesjonariusza, które nie są uzasadnione okolicznościami pozostającymi poza jego kontrolą, z wyjątkiem warunków określonych w ust. 8.</w:t>
      </w:r>
    </w:p>
    <w:p>
      <w:pPr>
        <w:pStyle w:val="Heading3"/>
        <w:jc w:val="center"/>
      </w:pPr>
      <w:r>
        <w:t>Artykuł 126</w:t>
      </w:r>
    </w:p>
    <w:p>
      <w:pPr>
        <w:pStyle w:val="Heading4"/>
        <w:jc w:val="center"/>
      </w:pPr>
      <w:r>
        <w:t>Wypowiedzenie koncesji</w:t>
      </w:r>
    </w:p>
    <w:p>
      <w:r>
        <w:t>1. Oprócz art. 107 nabywcy publiczni mogą rozwiązać umowę koncesji przed jej wygaśnięciem, jeżeli jest to przewidziane w prawie Unii lub prawie krajowym i jeżeli takie rozwiązanie jest uzasadnione nadrzędnym interesem publicznym.</w:t>
      </w:r>
    </w:p>
    <w:p>
      <w:r>
        <w:t>2. Każde rozwiązanie umowy zgodnie z ust. 1:</w:t>
      </w:r>
    </w:p>
    <w:p>
      <w:r>
        <w:t>są zgodne z zasadami proporcjonalności i równego traktowania;</w:t>
      </w:r>
    </w:p>
    <w:p>
      <w:r>
        <w:t>b) muszą być należycie uzasadnione i oparte na obiektywnych i weryfikowalnych podstawach;</w:t>
      </w:r>
    </w:p>
    <w:p>
      <w:r>
        <w:t>wykonuje się wyłącznie w przypadku, gdy zamierzonego celu nie można racjonalnie osiągnąć za pomocą mniej restrykcyjnych środków, w tym poprzez zmianę koncesji zgodnie z niniejszym rozporządzeniem.</w:t>
      </w:r>
    </w:p>
    <w:p>
      <w:r>
        <w:t>3. W przypadku rozwiązania umowy na mocy niniejszego artykułu koncesjonariusz ma prawo do odpowiedniej rekompensaty.</w:t>
      </w:r>
    </w:p>
    <w:p>
      <w:r>
        <w:t>4. Uzasadnienie zakończenia uczestnictwa i rekompensaty jest należycie udokumentowane i udostępniane do weryfikacji przez właściwe organy nadzorcze, audytowe i odwoławcze przez co najmniej pięć lat.</w:t>
      </w:r>
    </w:p>
    <w:p>
      <w:pPr>
        <w:pStyle w:val="Heading2"/>
        <w:jc w:val="center"/>
      </w:pPr>
      <w:r>
        <w:t>Część V</w:t>
      </w:r>
    </w:p>
    <w:p>
      <w:pPr>
        <w:pStyle w:val="Heading2"/>
        <w:jc w:val="center"/>
      </w:pPr>
      <w:r>
        <w:t>Ekosystem cyfrowy</w:t>
      </w:r>
    </w:p>
    <w:p>
      <w:pPr>
        <w:pStyle w:val="Heading2"/>
        <w:jc w:val="center"/>
      </w:pPr>
      <w:r>
        <w:t>Tytuł I</w:t>
      </w:r>
    </w:p>
    <w:p>
      <w:pPr>
        <w:pStyle w:val="Heading2"/>
        <w:jc w:val="center"/>
      </w:pPr>
      <w:r>
        <w:t>Narzędzia cyfrowe</w:t>
      </w:r>
    </w:p>
    <w:p>
      <w:pPr>
        <w:pStyle w:val="Heading2"/>
        <w:jc w:val="center"/>
      </w:pPr>
      <w:r>
        <w:t>Rozdział 1</w:t>
      </w:r>
    </w:p>
    <w:p>
      <w:pPr>
        <w:pStyle w:val="Heading2"/>
        <w:jc w:val="center"/>
      </w:pPr>
      <w:r>
        <w:t>Komunikacja elektroniczna i interoperacyjność</w:t>
      </w:r>
    </w:p>
    <w:p>
      <w:pPr>
        <w:pStyle w:val="Heading3"/>
        <w:jc w:val="center"/>
      </w:pPr>
      <w:r>
        <w:t>Artykuł 127</w:t>
      </w:r>
    </w:p>
    <w:p>
      <w:pPr>
        <w:pStyle w:val="Heading4"/>
        <w:jc w:val="center"/>
      </w:pPr>
      <w:r>
        <w:t>Komunikacja elektroniczna</w:t>
      </w:r>
    </w:p>
    <w:p>
      <w:r>
        <w:t>1. Nabywcy publiczni korzystają z narzędzi komunikacji elektronicznej we wszelkiej wymianie informacji z wykonawcą w ramach postępowania o udzielenie zamówienia. Korzystają one wyłącznie z ogólnie dostępnych i niedyskryminacyjnych narzędzi, a ich komunikacja jest zgodna z normą zharmonizowaną dotyczącą szczegółów zamówienia na podstawie art. 129 ust. 1 lit. b).</w:t>
      </w:r>
    </w:p>
    <w:p>
      <w:r>
        <w:t>2. Niezależnie od ust. 1 nabywcy publiczni mogą korzystać z innych środków komunikacji w zakresie, w jakim komunikacja elektroniczna nie jest możliwa ze względu na szczególne wymogi techniczne postępowania o udzielenie zamówienia lub w zakresie, w jakim jest to konieczne z jednego z następujących powodów:</w:t>
      </w:r>
    </w:p>
    <w:p>
      <w:r>
        <w:t>a) naruszenie bezpieczeństwa łączności elektronicznej; lub</w:t>
      </w:r>
    </w:p>
    <w:p>
      <w:r>
        <w:t>b) ochronę szczególnie wrażliwego charakteru danych wymagających tak wysokiego poziomu ochrony, że nie można jej odpowiednio zapewnić za pomocą narzędzi komunikacji elektronicznej.</w:t>
      </w:r>
    </w:p>
    <w:p>
      <w:r>
        <w:t>3. WE wszelkiej komunikacji, wymianie i przechowywaniu danych nabywcy publiczni zapewniają zachowanie integralności danych i poufności zgłoszeń zainteresowania, ofert przetargowych i propozycji innowacyjnych rozwiązań oraz możliwość wymiany danych z wykonawcą za pośrednictwem sieci interoperacyjności zgodnie z art.</w:t>
      </w:r>
    </w:p>
    <w:p>
      <w:r>
        <w:t>128. Analizują one treść zgłoszeń zainteresowania, ofert przetargowych i propozycji innowacyjnych rozwiązań dopiero po upływie terminu ich składania i zapewniają wykrycie każdego nieuprawnionego dostępu.</w:t>
      </w:r>
    </w:p>
    <w:p>
      <w:r>
        <w:t>4. Niezależnie od ust. 1 niniejszego artykułu i art. 65 nabywcy publiczni mogą wymagać stosowania narzędzi komunikacji elektronicznej, które nie są ogólnie dostępne i niedyskryminujące, tylko wtedy, gdy jest to niezbędne do przeprowadzenia postępowania o udzielenie zamówienia i gdy zapewniają bezpłatny i równy dostęp do takich narzędzi wszystkim wykonawcom zamierzającym wziąć udział w postępowaniu o udzielenie zamówienia.</w:t>
      </w:r>
    </w:p>
    <w:p>
      <w:r>
        <w:t>5. Zgodnie z art. 27 i 37 rozporządzenia (UE) nr 910/2014[69] nabywcy publiczni mogą wymagać stosowania zaawansowanych podpisów lub pieczęci elektronicznych, zaawansowanych podpisów lub pieczęci elektronicznych opartych na kwalifikowanym certyfikacie lub kwalifikowanych podpisach lub pieczęciach elektronicznych do podpisywania komunikacji elektronicznej przez wykonawca.</w:t>
      </w:r>
    </w:p>
    <w:p>
      <w:r>
        <w:rPr>
          <w:sz w:val="16"/>
        </w:rPr>
        <w:t>69 Rozporządzenie Parlamentu Europejskiego i Rady (UE) nr 910/2014 z dnia 23 lipca 2014 r. w sprawie identyfikacji elektronicznej i usług zaufania w odniesieniu do transakcji elektronicznych na rynku wewnętrznym oraz uchylające dyrektywę 1999/93/WE (Dz.U. L 257 z 28.8.2014, s. 73, ELI: http://data.europa.eu/eli/reg/2014/910/oj).</w:t>
      </w:r>
    </w:p>
    <w:p>
      <w:pPr>
        <w:pStyle w:val="Heading3"/>
        <w:jc w:val="center"/>
      </w:pPr>
      <w:r>
        <w:t>Artykuł 128</w:t>
      </w:r>
    </w:p>
    <w:p>
      <w:pPr>
        <w:pStyle w:val="Heading4"/>
        <w:jc w:val="center"/>
      </w:pPr>
      <w:r>
        <w:t>Sieć interoperacyjności</w:t>
      </w:r>
    </w:p>
    <w:p>
      <w:r>
        <w:t>1. Komisja ustanawia lub wyznacza bezpieczną sieć wymiany danych, aby umożliwić nabywcom publicznym i wykonawcom komunikowanie się przy użyciu środków elektronicznych w postępowaniach o udzielenie zamówienia z wykorzystaniem różnych dostawców usług e-zamówień („sieć interoperacyjności”).</w:t>
      </w:r>
    </w:p>
    <w:p>
      <w:r>
        <w:t>2. Komisja przyjmuje akty delegowane zgodnie z art. 141 w celu uzupełnienia niniejszego rozporządzenia, aby ustanowić lub wyznaczyć taką sieć interoperacyjności.</w:t>
      </w:r>
    </w:p>
    <w:p>
      <w:r>
        <w:t>Komisja zapewnia, aby sieć interoperacyjności spełniała następujące wymogi:</w:t>
      </w:r>
    </w:p>
    <w:p>
      <w:r>
        <w:t>a) jest zgodny z normami zharmonizowanymi, o których mowa w art. 129, oraz ze wspólnymi specyfikacjami, o których mowa w art. 130;</w:t>
      </w:r>
    </w:p>
    <w:p>
      <w:r>
        <w:t>b) uwzględnia istniejące unijne narzędzia i normy;</w:t>
      </w:r>
    </w:p>
    <w:p>
      <w:r>
        <w:t>c) spełnia wymóg ochrony danych osobowych zgodnie z rozporządzeniami (UE) 2016/679 [70] i (UE) 2018/1725 oraz zapewnia „uwzględnianie ochrony danych w fazie projektowania” i domyślną ochronę danych, jak określono w art. 25 rozporządzenia</w:t>
      </w:r>
    </w:p>
    <w:p>
      <w:r>
        <w:t>(UE) 2016/679 i art. 27 rozporządzenia (UE) 2018/1725;</w:t>
      </w:r>
    </w:p>
    <w:p>
      <w:r>
        <w:t>d) umożliwia ustanowienie bezpiecznej, praktycznej, łatwej do wdrożenia, elastycznej, konfigurowalnej i opłacalnej wymiany danych we wszystkich postępowaniach o udzielenie zamówienia;</w:t>
      </w:r>
    </w:p>
    <w:p>
      <w:r>
        <w:t>e) uwzględnia szczególne potrzeby MŚP;</w:t>
      </w:r>
    </w:p>
    <w:p>
      <w:r>
        <w:t>uważa on on ontologię e-zamówień za ramy semantyczne standaryzujące pojęcia unijnych zamówień publicznych; oraz</w:t>
      </w:r>
    </w:p>
    <w:p>
      <w:r>
        <w:t>g) bierze pod uwagę publiczne podsumowania i ich techniczną realizację zgodnie z art. 110.</w:t>
      </w:r>
    </w:p>
    <w:p>
      <w:r>
        <w:t>3. Komisja jest uprawniona do przyjmowania aktów wykonawczych określających szczegółowe ustalenia dotyczące wdrożenia i funkcjonowania sieci interoperacyjności, w tym, w stosownych przypadkach, przepisy dotyczące ponownego wykorzystywania istniejących sieci do celów niniejszego artykułu. Te akty wykonawcze określają co najmniej:</w:t>
      </w:r>
    </w:p>
    <w:p>
      <w:r>
        <w:t>a) informacje techniczne dotyczące połączenia z siecią interoperacyjności;</w:t>
      </w:r>
    </w:p>
    <w:p>
      <w:r>
        <w:t>b) format i struktura danych, w tym konfiguracja i składnia;</w:t>
      </w:r>
    </w:p>
    <w:p>
      <w:r>
        <w:t>c) repozytorium semantyczne;</w:t>
      </w:r>
    </w:p>
    <w:p>
      <w:r>
        <w:t>d) wymogi w zakresie interoperacyjności;</w:t>
      </w:r>
    </w:p>
    <w:p>
      <w:r>
        <w:t>e) skalowalność i wydajność;</w:t>
      </w:r>
    </w:p>
    <w:p>
      <w:r>
        <w:t>f) wymogi w zakresie bezpieczeństwa i odpowiedzialności;</w:t>
      </w:r>
    </w:p>
    <w:p>
      <w:r>
        <w:t>g) własność danych i zarządzanie dostępem do danych;</w:t>
      </w:r>
    </w:p>
    <w:p>
      <w:r>
        <w:t>h) kwalifikacja dostawców usług w zakresie e-zamówień;</w:t>
      </w:r>
    </w:p>
    <w:p>
      <w:r>
        <w:t>i) środki organizacyjne i techniczne służące przetwarzaniu danych osobowych;</w:t>
      </w:r>
    </w:p>
    <w:p>
      <w:r>
        <w:t>j) rozwiązania mające na celu przeciwdziałanie niewłaściwemu lub nieuczciwemu korzystaniu z sieci interoperacyjności;</w:t>
      </w:r>
    </w:p>
    <w:p>
      <w:r>
        <w:t>k) dostępność sieci interoperacyjności i danych; oraz</w:t>
      </w:r>
    </w:p>
    <w:p>
      <w:r>
        <w:t>l) wzajemne połączenia dokonane za pośrednictwem sieci interoperacyjności, w tym wzajemne połączenie z cyfrowym narzędziem do wydawania poświadczeń biznesowych i z NPPDS.</w:t>
      </w:r>
    </w:p>
    <w:p>
      <w:r>
        <w:t>Akty wykonawcze, o których mowa w akapicie pierwszym niniejszego ustępu, przyjmuje się zgodnie z procedurą doradczą, o której mowa w art. 143 ust. 2.</w:t>
      </w:r>
    </w:p>
    <w:p>
      <w:r>
        <w:t>4. Komisja może wymagać od operatora sieci interoperacyjności odmowy lub usunięcia dostępu do sieci dla dostawców usług e-zamówień, jeżeli dostawcy ci nie spełniają lub przestali spełniać wymogi określone w art. 131. Komisja z odpowiednim wyprzedzeniem powiadamia dostawców usług e-zamówień o odmowie lub utracie dostępu do sieci. Sieć interoperacyjności dostarcza Komisji informacji niezbędnych do oceny zgodności z wymogami określonymi w art. 131.</w:t>
      </w:r>
    </w:p>
    <w:p>
      <w:r>
        <w:rPr>
          <w:sz w:val="16"/>
        </w:rPr>
        <w:t>70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ELI: http://data.europa.eu/eli/reg/2016/679/oj).</w:t>
      </w:r>
    </w:p>
    <w:p>
      <w:pPr>
        <w:pStyle w:val="Heading3"/>
        <w:jc w:val="center"/>
      </w:pPr>
      <w:r>
        <w:t>Artykuł 129</w:t>
      </w:r>
    </w:p>
    <w:p>
      <w:pPr>
        <w:pStyle w:val="Heading4"/>
        <w:jc w:val="center"/>
      </w:pPr>
      <w:r>
        <w:t>Zharmonizowane normy dotyczące zamówień publicznych</w:t>
      </w:r>
    </w:p>
    <w:p>
      <w:r>
        <w:t>1. Komisja może przyjąć wniosek o normalizację zgodnie z rozporządzeniem</w:t>
      </w:r>
    </w:p>
    <w:p>
      <w:r>
        <w:t>(UE) nr 1025/2012 w sprawie opracowania norm zharmonizowanych dotyczących semantycznego modelu danych i interoperacyjności podstawowych elementów:</w:t>
      </w:r>
    </w:p>
    <w:p>
      <w:r>
        <w:t>a) postępowań o udzielenie zamówienia zgodnie z niniejszym rozporządzeniem („zharmonizowana norma dotycząca postępowań o udzielenie zamówienia”); oraz</w:t>
      </w:r>
    </w:p>
    <w:p>
      <w:r>
        <w:t>b) co najmniej główne elementy informacji o zamówieniu („zharmonizowana norma dotycząca informacji o zamówieniu”).</w:t>
      </w:r>
    </w:p>
    <w:p>
      <w:r>
        <w:t>2. Normy przyjęte zgodnie z ust. 1 spełniają co najmniej następujące kryteria:</w:t>
      </w:r>
    </w:p>
    <w:p>
      <w:r>
        <w:t>a) uwzględniają istniejące unijne narzędzia i normy;</w:t>
      </w:r>
    </w:p>
    <w:p>
      <w:r>
        <w:t>b) spełniają wymóg ochrony danych osobowych zgodnie z rozporządzeniami (UE) 2016/679 i (UE) 2018/1725, w szczególności z poszanowaniem zasad uwzględniania ochrony danych w fazie projektowania i domyślnej ochrony danych, jak określono w art. 25 rozporządzenia (UE) 2016/679 i art. 27 rozporządzenia (UE) 2018/1725;</w:t>
      </w:r>
    </w:p>
    <w:p>
      <w:r>
        <w:t>umożliwiają one ustanowienie bezpiecznej, łatwej do wdrożenia, elastycznej, konfigurowalnej i opłacalnej wymiany danych we wszystkich postępowaniach o udzielenie zamówienia;</w:t>
      </w:r>
    </w:p>
    <w:p>
      <w:r>
        <w:t>uwzględniają szczególne potrzeby MŚP; oraz</w:t>
      </w:r>
    </w:p>
    <w:p>
      <w:r>
        <w:t>e) uznają ontologię e-zamówień za ramy semantyczne standaryzujące koncepcję unijnych zamówień publicznych.</w:t>
      </w:r>
    </w:p>
    <w:p>
      <w:r>
        <w:t>3. W przypadku gdy norma zharmonizowana dotycząca procedur udzielania zamówień lub norma zharmonizowana dotycząca szczegółów zamówienia, wydana w następstwie wniosku, o którym mowa w ust. 1, jest zgodna z wymogami określonymi w tej normie, Komisja publikuje odniesienie do tej normy zharmonizowanej w Dzienniku Urzędowym Unii Europejskiej.</w:t>
      </w:r>
    </w:p>
    <w:p>
      <w:pPr>
        <w:pStyle w:val="Heading3"/>
        <w:jc w:val="center"/>
      </w:pPr>
      <w:r>
        <w:t>Artykuł 130</w:t>
      </w:r>
    </w:p>
    <w:p>
      <w:pPr>
        <w:pStyle w:val="Heading4"/>
        <w:jc w:val="center"/>
      </w:pPr>
      <w:r>
        <w:t>Wspólne specyfikacje</w:t>
      </w:r>
    </w:p>
    <w:p>
      <w:r>
        <w:t>1. Komisja może przyjmować akty wykonawcze ustanawiające wspólne specyfikacje, o których mowa w art. 88 ust. 4 lit. a), obejmujące zasadnicze wymogi dotyczące semantycznego modelu danych podstawowych elementów postępowań o udzielenie zamówienia, o których mowa w art. 129 ust. 1 lit. a).</w:t>
      </w:r>
    </w:p>
    <w:p>
      <w:r>
        <w:t>Te akty wykonawcze mogą zostać przyjęte, jeżeli Komisja zwróci się, zgodnie z art. 10 ust. 1 rozporządzenia (UE) nr 1025/2012, do co najmniej jednej europejskiej organizacji normalizacyjnej z wnioskiem o opracowanie lub przegląd norm europejskich w odniesieniu do tych wymogów oraz:</w:t>
      </w:r>
    </w:p>
    <w:p>
      <w:r>
        <w:t>a) wniosek nie został przyjęty przez żadną z europejskich organizacji normalizacyjnych, do których został skierowany; lub</w:t>
      </w:r>
    </w:p>
    <w:p>
      <w:r>
        <w:t>b) wniosek został zaakceptowany przez co najmniej jedną z europejskich organizacji normalizacyjnych, do których był skierowany, ale normy europejskie, których dotyczył wniosek:</w:t>
      </w:r>
    </w:p>
    <w:p>
      <w:r>
        <w:t>i) nie zostały dostarczone w terminie określonym we wniosku;</w:t>
      </w:r>
    </w:p>
    <w:p>
      <w:r>
        <w:t>ii) nie stosują się do wniosku; lub</w:t>
      </w:r>
    </w:p>
    <w:p>
      <w:r>
        <w:t>iii) nie spełniają wymagań, które mają obejmować.</w:t>
      </w:r>
    </w:p>
    <w:p>
      <w:r>
        <w:t>2. W przypadku opublikowania odniesień do normy zharmonizowanej w Dzienniku Urzędowym Unii Europejskiej Komisja uchyla akty wykonawcze przyjęte na podstawie ust. 1 lub ich odpowiednie części w zakresie, w jakim obejmują one te same wymogi.</w:t>
      </w:r>
    </w:p>
    <w:p>
      <w:r>
        <w:t>3. Jeżeli państwo członkowskie lub Parlament Europejski uzna, że wspólna specyfikacja lub jej części nie spełniają całkowicie wymagań, które obejmuje, informuje o tym Komisję, przedstawiając szczegółowe wyjaśnienie. Komisja ocenia to szczegółowe wyjaśnienie i w stosownych przypadkach może zmienić akt wykonawczy ustanawiający daną wspólną specyfikację.</w:t>
      </w:r>
    </w:p>
    <w:p>
      <w:pPr>
        <w:pStyle w:val="Heading2"/>
        <w:jc w:val="center"/>
      </w:pPr>
      <w:r>
        <w:t>Rozdział 2</w:t>
      </w:r>
    </w:p>
    <w:p>
      <w:pPr>
        <w:pStyle w:val="Heading2"/>
        <w:jc w:val="center"/>
      </w:pPr>
      <w:r>
        <w:t>Dostawcy usług e-zamówień</w:t>
      </w:r>
    </w:p>
    <w:p>
      <w:pPr>
        <w:pStyle w:val="Heading3"/>
        <w:jc w:val="center"/>
      </w:pPr>
      <w:r>
        <w:t>Artykuł 131</w:t>
      </w:r>
    </w:p>
    <w:p>
      <w:pPr>
        <w:pStyle w:val="Heading4"/>
        <w:jc w:val="center"/>
      </w:pPr>
      <w:r>
        <w:t>Obowiązki dostawców usług w zakresie e-zamówień</w:t>
      </w:r>
    </w:p>
    <w:p>
      <w:r>
        <w:t>1. Dostawcy usług e-zamówień zapewniają zgodność swoich platform e-zamówień z normami zharmonizowanymi, o których mowa w art. 129, do których odniesienia opublikowano w Dzienniku Urzędowym Unii Europejskiej, lub ze wspólnymi specyfikacjami przyjętymi na podstawie art. 130.</w:t>
      </w:r>
    </w:p>
    <w:p>
      <w:r>
        <w:t>2. Dostawcy usług w zakresie e-zamówień umożliwiają, w stosownych przypadkach, korzystanie z europejskich portfeli biznesowych ustanowionych zgodnie z rozporządzeniem [Urząd Publikacji – proszę wstawić wniosek dotyczący ustanowienia europejskich portfeli biznesowych] w odniesieniu do usług, które świadczą na rzecz wykonawców i nabywców publicznych.</w:t>
      </w:r>
    </w:p>
    <w:p>
      <w:r>
        <w:t>3. Dostawcy usług e-zamówień zapewniają, aby ich platformy e-zamówień podłączyły się do sieci interoperacyjności zgodnie z ustaleniami wykonawczymi zawartymi w aktach wykonawczych zgodnie z art. 128 ust. 3.</w:t>
      </w:r>
    </w:p>
    <w:p>
      <w:r>
        <w:t>4. Dostawcy usług w zakresie e-zamówień nie mogą znajdować się w sytuacji wykluczenia na podstawie art. 25. Dostawcy usług w zakresie e-zamówień muszą mieć siedzibę w Europejskim Obszarze Gospodarczym (EOG), muszą być własnością osób fizycznych lub prawnych mających siedzibę w EOG i być przez nie kontrolowani, a żadna osoba fizyczna lub prawna mająca siedzibę w państwie trzecim nie może wywierać na nich, bezpośrednio lub pośrednio, decydującego wpływu. Dostawcy usług w zakresie e-zamówień przechowują wszystkie dane związane z postępowaniami o udzielenie zamówienia publicznego prowadzonymi przez nabywców publicznych na podstawie niniejszego rozporządzenia w EOG.</w:t>
      </w:r>
    </w:p>
    <w:p>
      <w:r>
        <w:t>5. Dostawcy usług e-zamówień zapewniają dostęp do szczegółowych informacji dotyczących zamówienia zgodnie z art. 97 i nie pobierają żadnych opłat za dostęp do jakiejkolwiek komunikacji elektronicznej prowadzonej za pośrednictwem sieci interoperacyjności.</w:t>
      </w:r>
    </w:p>
    <w:p>
      <w:r>
        <w:t>6. Dostawcy usług e-zamówień zapewniają zgodność swojej platformy e-zamówień z ustaleniami technicznymi określonymi w akcie wykonawczym przyjętym na podstawie art. 133 ust. 5.</w:t>
      </w:r>
    </w:p>
    <w:p>
      <w:r>
        <w:t>7. Dostawcy usług w zakresie e-zamówień podłączają się do NPPDS utworzonej zgodnie z art. 134, chyba że świadczą swoje usługi wyłącznie na rzecz wykonawców.</w:t>
      </w:r>
    </w:p>
    <w:p>
      <w:r>
        <w:t>8. Państwa członkowskie wyznaczają co najmniej jeden właściwy organ odpowiedzialny za sprawdzanie, czy dostawcy usług w zakresie e-zamówień wypełniają obowiązki określone w niniejszym artykule. Przewidują one kary mające zastosowanie w przypadku naruszenia tych obowiązków, które obejmują tymczasowy zakaz świadczenia tych usług e-zamówień. Kary te są skuteczne, proporcjonalne i odstraszające.</w:t>
      </w:r>
    </w:p>
    <w:p>
      <w:pPr>
        <w:pStyle w:val="Heading3"/>
        <w:jc w:val="center"/>
      </w:pPr>
      <w:r>
        <w:t>Artykuł 132</w:t>
      </w:r>
    </w:p>
    <w:p>
      <w:pPr>
        <w:pStyle w:val="Heading4"/>
        <w:jc w:val="center"/>
      </w:pPr>
      <w:r>
        <w:t>Platforma e-zamówień Komisji</w:t>
      </w:r>
    </w:p>
    <w:p>
      <w:r>
        <w:t>1. Komisja tworzy i obsługuje platformę e-zamówień („platforma Komisji ds. e-zamówień”) oraz udostępnia ją nabywcom publicznym do celów prowadzenia postępowań o udzielenie zamówienia oraz wykonawcom do celów udziału w postępowaniach o udzielenie zamówienia.</w:t>
      </w:r>
    </w:p>
    <w:p>
      <w:r>
        <w:t>2. Platforma e-zamówień Komisji spełnia wymogi mające zastosowanie do dostawców usług w zakresie e-zamówień określone w art. 131 ust. 1–6. Komisja udostępnia rozwiązanie opracowane na potrzeby platformy e-zamówień Komisji jako otwarte oprogramowanie.</w:t>
      </w:r>
    </w:p>
    <w:p>
      <w:r>
        <w:t>3. Państwa członkowskie mogą wymagać od nabywców publicznych korzystania z platformy e-zamówień Komisji. Powiadamiają one Komisję o tej decyzji z co najmniej 12-miesięcznym wyprzedzeniem przed datą, od której nabywcy publiczni są zobowiązani do korzystania z platformy e-zamówień Komisji.</w:t>
      </w:r>
    </w:p>
    <w:p>
      <w:pPr>
        <w:pStyle w:val="Heading2"/>
        <w:jc w:val="center"/>
      </w:pPr>
      <w:r>
        <w:t>Rozdział 3</w:t>
      </w:r>
    </w:p>
    <w:p>
      <w:pPr>
        <w:pStyle w:val="Heading2"/>
        <w:jc w:val="center"/>
      </w:pPr>
      <w:r>
        <w:t>Kwalifikowalność elektroniczna</w:t>
      </w:r>
    </w:p>
    <w:p>
      <w:pPr>
        <w:pStyle w:val="Heading3"/>
        <w:jc w:val="center"/>
      </w:pPr>
      <w:r>
        <w:t>Artykuł 133</w:t>
      </w:r>
    </w:p>
    <w:p>
      <w:pPr>
        <w:pStyle w:val="Heading4"/>
        <w:jc w:val="center"/>
      </w:pPr>
      <w:r>
        <w:t>Elektroniczna usługa kwalifikowalności</w:t>
      </w:r>
    </w:p>
    <w:p>
      <w:r>
        <w:t>1. Komisja ustanawia i obsługuje elektroniczną usługę kwalifikowalności. Elektroniczna usługa kwalifikowalności zapewnia elektroniczną usługę weryfikacji podstaw wykluczenia, kryteriów kwalifikacji i wymogu pochodzenia w odniesieniu do każdego postępowania o udzielenie zamówienia za pośrednictwem europejskich portfeli biznesowych ustanowionych zgodnie z rozporządzeniem [OP – please add proposal on the establishment of the European Business Wallets] lub za pomocą alternatywnych środków elektronicznych, które są interoperacyjne z europejskimi portfelami biznesowymi.</w:t>
      </w:r>
    </w:p>
    <w:p>
      <w:r>
        <w:t>2. W odniesieniu do każdego postępowania o udzielenie zamówienia nabywcy publiczni określają w elektronicznej usłudze kwalifikowalności mające zastosowanie podstawy wykluczenia, kryteria kwalifikacji i wymogi dotyczące pochodzenia. Wykonawcy tworzą profil kwalifikowalności w elektronicznej usłudze kwalifikowalności odpowiadający postępowaniu o udzielenie zamówienia, w którym chcą uczestniczyć. Profil kwalifikowalności umożliwia nabywcom publicznym sprawdzenie, czy wykonawca spełnia wymagane wymogi, za pomocą cyfrowego narzędzia do wydawania poświadczeń biznesowych.</w:t>
      </w:r>
    </w:p>
    <w:p>
      <w:r>
        <w:t>3. Komisja jest uprawniona do przyjmowania aktów delegowanych zgodnie z art. 142 w celu uzupełnienia niniejszego rozporządzenia, ustanawiających szczegółowe zasady zarządzania elektroniczną usługą kwalifikowalności oraz wyznaczających cyfrowe narzędzie do wydawania poświadczeń biznesowych i powiązaną sieć, które mają być wykorzystywane przez wykonawcy do celów określania kwalifikowalności.</w:t>
      </w:r>
    </w:p>
    <w:p>
      <w:r>
        <w:t>4. Przygotowując akty delegowane, o których mowa w ust. 3, Komisja może wybrać co najmniej jeden z następujących instrumentów, w tym dowolne ich połączenie, lub dowolny instrument zastępujący je:</w:t>
      </w:r>
    </w:p>
    <w:p>
      <w:r>
        <w:t>europejskie portfele biznesowe na podstawie [Urząd Publikacji: proszę dodać rozporządzenie w sprawie europejskich portfeli biznesowych];</w:t>
      </w:r>
    </w:p>
    <w:p>
      <w:r>
        <w:t>b) systemu technicznego opartego na zasadzie jednorazowości na podstawie art. 14 rozporządzenia (UE) 2018/1724[71];</w:t>
      </w:r>
    </w:p>
    <w:p>
      <w:r>
        <w:t>c) europejski portfel tożsamości cyfrowej zgodnie z rozporządzeniem (UE) nr 910/2014[72];</w:t>
      </w:r>
    </w:p>
    <w:p>
      <w:r>
        <w:t>d) Służby państw członkowskich, jeżeli spełniają mające zastosowanie wymogi zgodnie z ust. 5 lit. b)–f) niniejszego artykułu.</w:t>
      </w:r>
    </w:p>
    <w:p>
      <w:r>
        <w:t>5. Narzędzia cyfrowych poświadczeń biznesowych wymienione w ust. 4 niniejszego artykułu spełniają następujące wymogi:</w:t>
      </w:r>
    </w:p>
    <w:p>
      <w:r>
        <w:t>a) w przypadku instrumentów określonych na poziomie Unii – do dnia 30 czerwca 2028 r. zostaną one technicznie wdrożone we wszystkich państwach członkowskich i będą ogólnie dostępne dla wykonawców;</w:t>
      </w:r>
    </w:p>
    <w:p>
      <w:r>
        <w:t>b) opierają się na istniejących narzędziach i normach unijnych;</w:t>
      </w:r>
    </w:p>
    <w:p>
      <w:r>
        <w:t>c) spełniają wymóg ochrony danych osobowych zgodnie z rozporządzeniami (UE) 2016/679 i (UE) 2018/1725 oraz zapewniają „uwzględnianie ochrony danych w fazie projektowania” i domyślną ochronę danych, jak określono w art. 25 rozporządzenia (UE) 2016/679 i art. 27 rozporządzenia (UE) 2018/1725, a także przewidują odpowiednie zabezpieczenia praw i wolności osób, których dane dotyczą, zgodnie z art. 10 i 22 rozporządzenia (UE) 2016/679;</w:t>
      </w:r>
    </w:p>
    <w:p>
      <w:r>
        <w:t>zapewniają bezpieczną, łatwą do wdrożenia, elastyczną, konfigurowalną i racjonalną pod względem kosztów wymianę danych we wszystkich postępowaniach o udzielenie zamówienia;</w:t>
      </w:r>
    </w:p>
    <w:p>
      <w:r>
        <w:t>e) są one dostosowane do szczególnych potrzeb MŚP; oraz</w:t>
      </w:r>
    </w:p>
    <w:p>
      <w:r>
        <w:t>f) uznają ontologię e-zamówień za ramy semantyczne standaryzujące pojęcia unijnych zamówień publicznych.</w:t>
      </w:r>
    </w:p>
    <w:p>
      <w:r>
        <w:t>6. Komisja jest uprawniona do przyjmowania aktów wykonawczych określających ustalenia techniczne dotyczące usługi kwalifikowalności elektronicznej. Te akty wykonawcze określają w szczególności:</w:t>
      </w:r>
    </w:p>
    <w:p>
      <w:r>
        <w:t>a) strukturę techniczną i strukturę sieci narzędzi do cyfrowych poświadczeń biznesowych;</w:t>
      </w:r>
    </w:p>
    <w:p>
      <w:r>
        <w:t>b) informacje techniczne dotyczące połączenia z cyfrowym narzędziem do wydawania poświadczeń biznesowych;</w:t>
      </w:r>
    </w:p>
    <w:p>
      <w:r>
        <w:t>c) format i struktura danych, w tym konfiguracja i składnia;</w:t>
      </w:r>
    </w:p>
    <w:p>
      <w:r>
        <w:t>d) repozytorium semantyczne;</w:t>
      </w:r>
    </w:p>
    <w:p>
      <w:r>
        <w:t>e) wymogi w zakresie interoperacyjności;</w:t>
      </w:r>
    </w:p>
    <w:p>
      <w:r>
        <w:t>f) konfiguracja narzędzia algorytmicznego wymaganego na potrzeby procedury dynamicznej, w tym określenie algorytmu;</w:t>
      </w:r>
    </w:p>
    <w:p>
      <w:r>
        <w:t>g) skalowalność i wydajność;</w:t>
      </w:r>
    </w:p>
    <w:p>
      <w:r>
        <w:t>h) wymogi w zakresie bezpieczeństwa i odpowiedzialności;</w:t>
      </w:r>
    </w:p>
    <w:p>
      <w:r>
        <w:t>i) własność danych i zarządzanie dostępem do danych;</w:t>
      </w:r>
    </w:p>
    <w:p>
      <w:r>
        <w:t>j) informacje techniczne na temat krajowych punktów dostępu do narzędzia cyfrowych poświadczeń biznesowych oraz punktu dostępu Komisji;</w:t>
      </w:r>
    </w:p>
    <w:p>
      <w:r>
        <w:t>k) środki organizacyjne i techniczne służące przetwarzaniu danych osobowych;</w:t>
      </w:r>
    </w:p>
    <w:p>
      <w:r>
        <w:t>l) rozwiązania mające na celu przeciwdziałanie niewłaściwemu lub nieuczciwemu korzystaniu z sieci narzędzi do cyfrowych poświadczeń biznesowych;</w:t>
      </w:r>
    </w:p>
    <w:p>
      <w:r>
        <w:t>m) audyty techniczne;</w:t>
      </w:r>
    </w:p>
    <w:p>
      <w:r>
        <w:t>n) dostępność sieci i danych narzędzia do cyfrowych poświadczeń biznesowych;</w:t>
      </w:r>
    </w:p>
    <w:p>
      <w:r>
        <w:t>o) obowiązki sieci narzędzi biznesowych w zakresie cyfrowych poświadczeń; oraz</w:t>
      </w:r>
    </w:p>
    <w:p>
      <w:r>
        <w:t>szczegółowe przepisy dotyczące obowiązków państw członkowskich i Komisji w odniesieniu do elektronicznej usługi kwalifikowalności, w tym postępowania z podstawami wykluczenia określonymi w art. 25 i 26 oraz kryteriami kwalifikacji określonymi zgodnie z art. 27.</w:t>
      </w:r>
    </w:p>
    <w:p>
      <w:r>
        <w:t>Akty wykonawcze, o których mowa w akapicie pierwszym niniejszego ustępu, przyjmuje się zgodnie z procedurą doradczą, o której mowa w art. 143 ust. 2.</w:t>
      </w:r>
    </w:p>
    <w:p>
      <w:r>
        <w:t>7. Do celów rozporządzenia (UE) 2018/1725 Komisję uznaje się za podmiot przetwarzający w rozumieniu art. 3 pkt 12 tego rozporządzenia w odniesieniu do przetwarzania wszelkich danych osobowych, które mogą wynikać z ustanowienia elektronicznej usługi kwalifikowalności i zarządzania nią.</w:t>
      </w:r>
    </w:p>
    <w:p>
      <w:r>
        <w:t>8. Państwa członkowskie informują Komisję w ciągu 30 dni od utworzenia wszelkich nowych zaświadczeń lub innych form dowodów w postaci dokumentów, które mają być dostarczone za pośrednictwem elektronicznego systemu kwalifikowalności.</w:t>
      </w:r>
    </w:p>
    <w:p>
      <w:r>
        <w:rPr>
          <w:sz w:val="16"/>
        </w:rPr>
        <w:t>71 Rozporządzenie Parlamentu Europejskiego i Rady (UE) 2018/1724 z dnia 2 października 2018 r. w sprawie utworzenia jednolitego portalu cyfrowego w celu zapewnienia dostępu do informacji, procedur oraz usług wsparcia i rozwiązywania problemów, a także zmieniające rozporządzenie (UE) nr 1024/2012 (Dz.U. L 295 z 21.11.2018, s. 1, ELI: http://data.europa.eu/eli/reg/2018/1724/oj).</w:t>
      </w:r>
    </w:p>
    <w:p>
      <w:r>
        <w:rPr>
          <w:sz w:val="16"/>
        </w:rPr>
        <w:t>72 Rozporządzenie Parlamentu Europejskiego i Rady (UE) nr 910/2014 z dnia 23 lipca 2014 r. w sprawie identyfikacji elektronicznej i usług zaufania w odniesieniu do transakcji elektronicznych na rynku wewnętrznym oraz uchylające dyrektywę 1999/93/WE (Dz.U. L 257 z 28.8.2014, s. 73, ELI: http://data.europa.eu/eli/reg/2014/910/oj).</w:t>
      </w:r>
    </w:p>
    <w:p>
      <w:pPr>
        <w:pStyle w:val="Heading2"/>
        <w:jc w:val="center"/>
      </w:pPr>
      <w:r>
        <w:t>Część VI</w:t>
      </w:r>
    </w:p>
    <w:p>
      <w:pPr>
        <w:pStyle w:val="Heading2"/>
        <w:jc w:val="center"/>
      </w:pPr>
      <w:r>
        <w:t>Przejrzystość i zarządzanie</w:t>
      </w:r>
    </w:p>
    <w:p>
      <w:pPr>
        <w:pStyle w:val="Heading2"/>
        <w:jc w:val="center"/>
      </w:pPr>
      <w:r>
        <w:t>Tytuł I</w:t>
      </w:r>
    </w:p>
    <w:p>
      <w:pPr>
        <w:pStyle w:val="Heading2"/>
        <w:jc w:val="center"/>
      </w:pPr>
      <w:r>
        <w:t>Przestrzenie danych</w:t>
      </w:r>
    </w:p>
    <w:p>
      <w:pPr>
        <w:pStyle w:val="Heading3"/>
        <w:jc w:val="center"/>
      </w:pPr>
      <w:r>
        <w:t>Artykuł 134</w:t>
      </w:r>
    </w:p>
    <w:p>
      <w:pPr>
        <w:pStyle w:val="Heading4"/>
        <w:jc w:val="center"/>
      </w:pPr>
      <w:r>
        <w:t>Krajowe przestrzenie danych dotyczących zamówień publicznych</w:t>
      </w:r>
    </w:p>
    <w:p>
      <w:r>
        <w:t>1. Każde państwo członkowskie ustanawia lub wyznacza krajową przestrzeń danych dotyczących zamówień publicznych („NPPDS”) jako centralny krajowy punkt dostępu do danych dotyczących zamówień związanych z zamówieniami publicznymi i cyklem życia umów oraz innych powiązanych krajowych informacji dotyczących zamówień objętych niniejszym rozporządzeniem, a także działa jako punkt kontaktowy państwa członkowskiego do przestrzeni danych dotyczących zamówień publicznych zgodnie z art. 135.</w:t>
      </w:r>
    </w:p>
    <w:p>
      <w:r>
        <w:t>2. Każde państwo członkowskie wyznacza organ lub organy odpowiedzialne za funkcjonowanie NPPDS, o których mowa w ust. 1 („organ ds. NPPDS”).</w:t>
      </w:r>
    </w:p>
    <w:p>
      <w:r>
        <w:t>NPPDS musi mieć siedzibę w EOG, musi być własnością osób fizycznych lub prawnych mających siedzibę w EOG i być przez nie kontrolowana, a żadna osoba fizyczna lub prawna mająca siedzibę w państwie trzecim nie może wywierać, bezpośrednio ani pośrednio, decydującego wpływu na NPPDS. Informacje dotyczące zamówień są przechowywane w EOG.</w:t>
      </w:r>
    </w:p>
    <w:p>
      <w:r>
        <w:t>3. Organ ds. NPPDS zapewnia udostępnienie za pośrednictwem NPPDS następujących informacji o zamówieniach:</w:t>
      </w:r>
    </w:p>
    <w:p>
      <w:r>
        <w:t>a) informacje na temat zamówień związane z postępowaniami o udzielenie zamówienia powyżej progów, o których mowa w art. 2, odpowiadające publicznym podsumowaniom określonym w akcie wykonawczym przyjętym na podstawie art. 110;</w:t>
      </w:r>
    </w:p>
    <w:p>
      <w:r>
        <w:t>b) informacje o zamówieniach dotyczące postępowań o udzielenie zamówienia o wartości poniżej progów, o których mowa w art. 2, jeżeli informacje te są przekazywane w formacie odpowiadającym podsumowaniom publicznym określonym w akcie wykonawczym przyjętym na podstawie art. 110; oraz</w:t>
      </w:r>
    </w:p>
    <w:p>
      <w:r>
        <w:t>c) informacje dotyczące zamówień publicznych udzielonych na podstawie wykluczeń zgodnie z art. 80, 81, 83 i 84, w szczególności informacje na temat organizacji związanych z zamówieniem, celu i wyniku zamówienia, a także uzasadnienie wykluczenia.</w:t>
      </w:r>
    </w:p>
    <w:p>
      <w:r>
        <w:t>Informacje dotyczące zamówień, o których mowa w lit. a) i b), udostępnia się za pośrednictwem NPPDS w tym samym czasie, w którym udostępnia się je na poziomie Unii lub, w przypadku gdy nie są one udostępniane na poziomie Unii, w tym samym czasie, w którym udostępnia się je na poziomie krajowym. Informacje o zamówieniu, o których mowa w lit. c), udostępnia się w terminie 20 dni od, odpowiednio, zawarcia i zakończenia umowy.</w:t>
      </w:r>
    </w:p>
    <w:p>
      <w:r>
        <w:t>4. Organ ds. NPPDS zapewnia, aby informacje na temat zamówień zawarte w zawartych umowach oraz w zakończonych umowach o wartości co najmniej 10 000 EUR, w przypadku gdy poprzednie zamówienie byłoby objęte niniejszym rozporządzeniem, gdyby jego wartość przekroczyła odpowiedni próg określony w art. 2, były udostępniane za pośrednictwem NPPDS. Zawiera ona informacje na temat organizacji związanych z zamówieniem oraz celu i wyniku zamówienia.</w:t>
      </w:r>
    </w:p>
    <w:p>
      <w:r>
        <w:t>Informacje te udostępnia się za pośrednictwem NPPDS nie później niż, odpowiednio, 20 dni po zawarciu i zakończeniu umowy.</w:t>
      </w:r>
    </w:p>
    <w:p>
      <w:r>
        <w:t>5. Organ ds. NPPDS zapewnia udostępnienie za pośrednictwem NPPDS następujących informacji:</w:t>
      </w:r>
    </w:p>
    <w:p>
      <w:r>
        <w:t>a) informacje na temat uczestników postępowania o udzielenie zamówienia, w tym na temat wyników ich uczestnictwa;</w:t>
      </w:r>
    </w:p>
    <w:p>
      <w:r>
        <w:t>b) informacje o podwykonawcach i dostawcach usług pomocniczych;</w:t>
      </w:r>
    </w:p>
    <w:p>
      <w:r>
        <w:t>c) szczegóły dotyczące zamówienia, oferty, umowy i dokumenty przekazania;</w:t>
      </w:r>
    </w:p>
    <w:p>
      <w:r>
        <w:t>d) informacje na temat budżetu, w tym informacje na temat funduszy UE;</w:t>
      </w:r>
    </w:p>
    <w:p>
      <w:r>
        <w:t>e) informacje na temat umów i płatności indywidualnych;</w:t>
      </w:r>
    </w:p>
    <w:p>
      <w:r>
        <w:t>f) informacje istotne dla oceny przestrzegania niniejszego rozporządzenia przez nabywców publicznych;</w:t>
      </w:r>
    </w:p>
    <w:p>
      <w:r>
        <w:t>g) informacje istotne dla oceny zakresu, w jakim nabywcy publiczni realizują strategiczne cele zamówień publicznych, takie jak cele środowiskowe, społeczne lub innowacyjne, oraz ich wkładu w osiągnięcie tych celów;</w:t>
      </w:r>
    </w:p>
    <w:p>
      <w:r>
        <w:t>h) informacje na temat udziału MŚP w zamówieniach publicznych;</w:t>
      </w:r>
    </w:p>
    <w:p>
      <w:r>
        <w:t>i) informacje dotyczące czynników ryzyka w zamówieniach publicznych, w tym korupcji, nadużyć finansowych, zmowy lub praktyk nieuczciwej konkurencji;</w:t>
      </w:r>
    </w:p>
    <w:p>
      <w:r>
        <w:t>j) informacje na temat funkcjonowania krajowych systemów przeglądów; oraz</w:t>
      </w:r>
    </w:p>
    <w:p>
      <w:r>
        <w:t>k) informacje na temat funkcjonowania krajowych rynków zamówień publicznych poniżej i powyżej progów, w tym informacje na temat udziału krajowego, transgranicznego i udziału państw trzecich, w tym pochodzenia towarów, oraz informacje na temat własności rzeczywistej.</w:t>
      </w:r>
    </w:p>
    <w:p>
      <w:r>
        <w:t>Informacje o zamówieniach udostępnia się za pośrednictwem NPPDS jak najszybciej, ale nie później niż 20 dni po pojawieniu się odpowiednich informacji. W przypadku gdy informacje dotyczą trwającej procedury odwoławczej, udostępnia się je za pośrednictwem NPPDS 20 dni od zakończenia odpowiedniej procedury odwoławczej.</w:t>
      </w:r>
    </w:p>
    <w:p>
      <w:r>
        <w:t>6. Informacje dotyczące zamówień uznaje się za dostępne dopiero po ich zatwierdzeniu zgodnie z technicznymi wymogami walidacji ustanowionymi przez Unię. Po pomyślnym zatwierdzeniu NPPDS przekazuje potwierdzenie zatwierdzenia podmiotowi, który udostępnił informacje dotyczące zamówienia. Informacje dotyczące zamówień pozostają dostępne za pośrednictwem NPPDS przez co najmniej dziesięć lat od daty ich udostępnienia.</w:t>
      </w:r>
    </w:p>
    <w:p>
      <w:r>
        <w:t>7. Komisja jest uprawniona do przyjęcia aktów delegowanych zgodnie z art. 141 określających dalsze kategorie informacji o zamówieniach, które mają być udostępniane NPPDS.</w:t>
      </w:r>
    </w:p>
    <w:p>
      <w:r>
        <w:t>8. Komisja jest uprawniona do przyjmowania aktów wykonawczych zgodnie z art. 143 ust. 2 określających informacje o zamówieniach, które są udostępniane za pośrednictwem NPPDS, a także ich format techniczny, wyznaczenie i warunki takiego wyznaczenia konkretnych informacji o zamówieniach jako publicznie dostępnych lub niedostępnych publicznie informacji o zamówieniach, źródło wymogów walidacji technicznej zgodnie z ust. 7, a także ustanowienie połączenia podsumowań publicznych i kolejności określonych informacji zawartych w wielu podsumowaniach publicznych oraz ustanowienie wymogów dla nabywców publicznych w zakresie ponownego wykorzystywania informacji już podanych w podsumowaniu publicznym, a także wymogów dla dostawców usług e-zamówień w zakresie świadczenia odpowiedniej usługi ponownego wykorzystania.</w:t>
      </w:r>
    </w:p>
    <w:p>
      <w:r>
        <w:t>W przypadku gdy informacje o zamówieniach nie są oznaczone jako publicznie dostępne, państwa członkowskie zapewniają, aby określone kategorie użytkowników, takie jak nabywcy publiczni, organy ochrony konkurencji, trybunały obrachunkowe i krajowe jednostki analityki finansowej, miały bezpośrednie i kompleksowe prawa dostępu odpowiadające ich potrzebom i celom.</w:t>
      </w:r>
    </w:p>
    <w:p>
      <w:r>
        <w:t>9. Państwa członkowskie ustanawiają przepisy zapewniające pełne, prawidłowe i terminowe udzielanie dostępu do informacji o zamówieniach w odniesieniu do NPPDS zgodnie z niniejszym rozporządzeniem, a także przepisy przewidujące zarządzanie danymi, w których wyraźnie określono obowiązki w zakresie zarządzania dostępnymi informacjami o zamówieniach i ich wykorzystywania, w tym dostępu dla kategorii użytkowników określonych w ust. 10. Państwa członkowskie mogą również ustanowić przepisy nakładające obowiązek przekazywania informacji o zamówieniach do NPPDS na konkretne podmioty prawne, w tym przepisy dotyczące przekazywania lub pobierania informacji o zamówieniach z innych krajowych baz danych. Państwa członkowskie nakładają skuteczne, proporcjonalne i odstraszające grzywny za naruszenia związane z obowiązkiem zapewnienia dostępu do informacji o zamówieniach. Państwa członkowskie informują Komisję o tych przepisach w terminie 12 miesięcy od przyjęcia niniejszego rozporządzenia.</w:t>
      </w:r>
    </w:p>
    <w:p>
      <w:r>
        <w:t>10. Na wniosek państwa członkowskiego Komisja przekazuje państwom członkowskim kod źródłowy przestrzeni danych dotyczących zamówień publicznych do celów ustanowienia NPPDS.</w:t>
      </w:r>
    </w:p>
    <w:p>
      <w:pPr>
        <w:pStyle w:val="Heading3"/>
        <w:jc w:val="center"/>
      </w:pPr>
      <w:r>
        <w:t>Artykuł 135</w:t>
      </w:r>
    </w:p>
    <w:p>
      <w:pPr>
        <w:pStyle w:val="Heading4"/>
        <w:jc w:val="center"/>
      </w:pPr>
      <w:r>
        <w:t>Przestrzeń danych dotyczących zamówień publicznych</w:t>
      </w:r>
    </w:p>
    <w:p>
      <w:r>
        <w:t>1. Przestrzeń danych dotyczących zamówień publicznych („PPDS”) ustanowiona przez Komisję i oparta na zasadach ontologii e-zamówień oraz możliwości znalezienia, dostępności, interoperacyjności i ponownego wykorzystania zasobów cyfrowych (FAIR) stanowi centralne repozytorium informacji o zamówieniach pochodzących ze wszystkich NPPDS na potrzeby monitorowania postępowań o udzielenie zamówienia publicznego i umów w sprawie zamówień publicznych na szczeblu Unii.</w:t>
      </w:r>
    </w:p>
    <w:p>
      <w:r>
        <w:t>2. Państwa członkowskie przekazują PPDS informacje o zamówieniach dostępne za pośrednictwem NPPDS w terminie dziesięciu dni od udostępnienia informacji o zamówieniach zgodnie z art. 134.</w:t>
      </w:r>
    </w:p>
    <w:p>
      <w:r>
        <w:t>Informacje dotyczące zamówienia uznaje się za otrzymane dopiero po ich zatwierdzeniu zgodnie z technicznymi wymogami walidacji ustanowionymi przez Unię. W tym celu NPPDS otrzymuje potwierdzenie zatwierdzenia. Informacje dotyczące zamówień pozostają dostępne dla PPDS przez co najmniej dziesięć lat od daty ich udostępnienia.</w:t>
      </w:r>
    </w:p>
    <w:p>
      <w:r>
        <w:t>3. Komisja jest uprawniona do przyjmowania aktów wykonawczych określających informacje dotyczące zamówień, które państwa członkowskie przekazują za pośrednictwem PPDS, w tym ich format techniczny, minimalne warunki publikacji informacji dotyczących zamówień, które nie zostały określone jako publicznie dostępne, oraz źródło wymogów walidacji technicznej zgodnie z ust. 2.</w:t>
      </w:r>
    </w:p>
    <w:p>
      <w:r>
        <w:t>Akty wykonawcze przyjmuje się zgodnie z procedurą doradczą, o której mowa w art. 143 ust. 2.</w:t>
      </w:r>
    </w:p>
    <w:p>
      <w:r>
        <w:t>4. Dostęp do informacji o zamówieniach publicznych, które nie zostały określone jako publicznie dostępne, jest ograniczony do osób posiadających niezbędne prawa dostępu przyznane przez Komisję. W przypadku gdy państwo członkowskie zwraca się do krajowego organu publicznego o prawa dostępu do informacji dotyczących zamówień publicznych pochodzących z innego państwa członkowskiego, uzyskuje ono prawa dostępu dopiero po zatwierdzeniu dostępu przez to inne państwo członkowskie.</w:t>
      </w:r>
    </w:p>
    <w:p>
      <w:r>
        <w:t>5. Komisja może udzielić dostępu do PPDS instytucjom Unii w rozumieniu art. 2 pkt 73 rozporządzenia (UE, Euratom) 2024/2509, agencjom wykonawczym i organom Unii w rozumieniu art. 68, 69 i 70 tego rozporządzenia, Prokuraturze Europejskiej, Europejskiemu Urzędowi ds. Zwalczania Nadużyć Finansowych i Europejskiemu Bankowi Centralnemu, stosownie do ich odpowiednich potrzeb i celów.</w:t>
      </w:r>
    </w:p>
    <w:p>
      <w:pPr>
        <w:pStyle w:val="Heading3"/>
        <w:jc w:val="center"/>
      </w:pPr>
      <w:r>
        <w:t>Artykuł 136</w:t>
      </w:r>
    </w:p>
    <w:p>
      <w:pPr>
        <w:pStyle w:val="Heading4"/>
        <w:jc w:val="center"/>
      </w:pPr>
      <w:r>
        <w:t>Wymiana danych PPDS</w:t>
      </w:r>
    </w:p>
    <w:p>
      <w:r>
        <w:t>1. Komisja ustanawia wymianę danych na potrzeby zarządzania dostępem do informacji o zamówieniach PPDS i NPPDS.</w:t>
      </w:r>
    </w:p>
    <w:p>
      <w:r>
        <w:t>2. Komisja zarządza wymianą danych i zapewnia bezpieczną wymianę informacji o zamówieniach. W tym celu Komisja może przyjmować akty wykonawcze zgodnie z procedurą doradczą, o której mowa w art. 143 ust. 2, określające następujące ustalenia dotyczące wdrażania wymiany danych zgodnie z prawem Unii:</w:t>
      </w:r>
    </w:p>
    <w:p>
      <w:r>
        <w:t>a) informacje techniczne dotyczące połączenia z wymianą danych;</w:t>
      </w:r>
    </w:p>
    <w:p>
      <w:r>
        <w:t>b) format i struktura danych, w tym konfiguracja i składnia;</w:t>
      </w:r>
    </w:p>
    <w:p>
      <w:r>
        <w:t>c) repozytorium semantyczne;</w:t>
      </w:r>
    </w:p>
    <w:p>
      <w:r>
        <w:t>d) wymogi w zakresie interoperacyjności;</w:t>
      </w:r>
    </w:p>
    <w:p>
      <w:r>
        <w:t>e) skalowalność i wydajność;</w:t>
      </w:r>
    </w:p>
    <w:p>
      <w:r>
        <w:t>f) wymogi w zakresie bezpieczeństwa i odpowiedzialności;</w:t>
      </w:r>
    </w:p>
    <w:p>
      <w:r>
        <w:t>g) własność danych i zarządzanie dostępem do danych;</w:t>
      </w:r>
    </w:p>
    <w:p>
      <w:r>
        <w:t>h) środki organizacyjne i techniczne służące przetwarzaniu danych osobowych;</w:t>
      </w:r>
    </w:p>
    <w:p>
      <w:r>
        <w:t>i) ustalenia mające na celu przeciwdziałanie niewłaściwemu lub nieuczciwemu wykorzystywaniu wymiany danych;</w:t>
      </w:r>
    </w:p>
    <w:p>
      <w:r>
        <w:t>j) dostępność wymiany danych i danych; oraz</w:t>
      </w:r>
    </w:p>
    <w:p>
      <w:r>
        <w:t>k) wzajemnych połączeń dokonanych za pośrednictwem wymiany danych, takich jak NPPDS.</w:t>
      </w:r>
    </w:p>
    <w:p>
      <w:pPr>
        <w:pStyle w:val="Heading2"/>
        <w:jc w:val="center"/>
      </w:pPr>
      <w:r>
        <w:t>Tytuł II</w:t>
      </w:r>
    </w:p>
    <w:p>
      <w:pPr>
        <w:pStyle w:val="Heading2"/>
        <w:jc w:val="center"/>
      </w:pPr>
      <w:r>
        <w:t>Zarządzanie</w:t>
      </w:r>
    </w:p>
    <w:p>
      <w:pPr>
        <w:pStyle w:val="Heading3"/>
        <w:jc w:val="center"/>
      </w:pPr>
      <w:r>
        <w:t>Artykuł 137</w:t>
      </w:r>
    </w:p>
    <w:p>
      <w:pPr>
        <w:pStyle w:val="Heading4"/>
        <w:jc w:val="center"/>
      </w:pPr>
      <w:r>
        <w:t>Monitorowanie funkcjonowania rynków zamówień publicznych</w:t>
      </w:r>
    </w:p>
    <w:p>
      <w:r>
        <w:t>1. Państwa członkowskie monitorują i oceniają funkcjonowanie swoich systemów zamówień publicznych na podstawie danych zawartych w ich NPPDS. Strony identyfikują potencjalne niedociągnięcia i możliwe usprawnienia, wspierając tym samym ciągłe doskonalenie swojego systemu zamówień publicznych.</w:t>
      </w:r>
    </w:p>
    <w:p>
      <w:r>
        <w:t>Państwa członkowskie co najmniej:</w:t>
      </w:r>
    </w:p>
    <w:p>
      <w:r>
        <w:t>a) ocenia bariery dla konkurencji i dostępu do możliwości w zakresie zamówień publicznych, w szczególności dla MŚP;</w:t>
      </w:r>
    </w:p>
    <w:p>
      <w:r>
        <w:t>b) identyfikuje i ocenia główne słabe punkty i zagrożenia wpływające na integralność i efektywność systemu zamówień publicznych;</w:t>
      </w:r>
    </w:p>
    <w:p>
      <w:r>
        <w:t>c) ocenia stosowanie mechanizmów bezpieczeństwa, odporności i preferencji europejskiej, w tym identyfikuje wszelkie oznaki obchodzenia przepisów przez wykonawcy w odniesieniu do tych ostatnich;</w:t>
      </w:r>
    </w:p>
    <w:p>
      <w:r>
        <w:t>d) ocenia postępy w osiąganiu strategicznych celów w zakresie zamówień publicznych, z uwzględnieniem aspektów środowiskowych, społecznych i związanych z innowacjami;</w:t>
      </w:r>
    </w:p>
    <w:p>
      <w:r>
        <w:t>monitorowanie wyników, dostosowań i modyfikacji dużych projektów infrastrukturalnych i umów długoterminowych, takich jak koncesje.</w:t>
      </w:r>
    </w:p>
    <w:p>
      <w:r>
        <w:t>Wyniki oceny, o której mowa w akapicie drugim, są podawane do wiadomości publicznej za pomocą odpowiednich środków informacji co najmniej raz w roku.</w:t>
      </w:r>
    </w:p>
    <w:p>
      <w:r>
        <w:t>W przypadku stwierdzenia niedociągnięć strukturalnych środki służące ich wyeliminowaniu są wspierane przez państwa członkowskie, które opracowują i wdrażają kompleksowy plan działania dla poszczególnych krajów.</w:t>
      </w:r>
    </w:p>
    <w:p>
      <w:r>
        <w:t>2. Co trzy lata państwa członkowskie składają Komisji sprawozdanie na temat wyników oceny oraz, w przypadku stwierdzenia niedociągnięć strukturalnych, na temat środków podjętych, planowanych lub planowanych w celu zaradzenia tym niedociągnięciom, przy czym pierwsze sprawozdanie należy złożyć do dnia... [Urząd Publikacji: proszę wstawić datę przypadającą trzy lata po wejściu w życie niniejszego rozporządzenia] r.</w:t>
      </w:r>
    </w:p>
    <w:p>
      <w:r>
        <w:t>3. Komisja monitoruje i analizuje funkcjonowanie zamówień publicznych w Unii, w szczególności konkurencję na rynkach zamówień publicznych, na podstawie danych z przestrzeni danych dotyczących zamówień publicznych. Co trzy lata Komisja przedstawia analizę systemu zamówień publicznych w całej Unii.</w:t>
      </w:r>
    </w:p>
    <w:p>
      <w:pPr>
        <w:pStyle w:val="Heading3"/>
        <w:jc w:val="center"/>
      </w:pPr>
      <w:r>
        <w:t>Artykuł 138</w:t>
      </w:r>
    </w:p>
    <w:p>
      <w:pPr>
        <w:pStyle w:val="Heading4"/>
        <w:jc w:val="center"/>
      </w:pPr>
      <w:r>
        <w:t>Krajowy organ koordynujący</w:t>
      </w:r>
    </w:p>
    <w:p>
      <w:r>
        <w:t>1. Każde państwo członkowskie wyznacza jeden organ, podmiot lub strukturę jako krajowy organ koordynujący do celów niniejszego rozporządzenia.</w:t>
      </w:r>
    </w:p>
    <w:p>
      <w:r>
        <w:t>2. Krajowy organ koordynujący:</w:t>
      </w:r>
    </w:p>
    <w:p>
      <w:r>
        <w:t>a) zapewnia skuteczną koordynację między organami krajowymi odpowiedzialnymi za wykonywanie zadań i uprawnień przewidzianych w niniejszym rozporządzeniu;</w:t>
      </w:r>
    </w:p>
    <w:p>
      <w:r>
        <w:t>b) ułatwia współpracę i wymianę informacji między tymi organami;</w:t>
      </w:r>
    </w:p>
    <w:p>
      <w:r>
        <w:t>c) udostępnia znormalizowane dokumenty zamówienia, wytyczne lub porady dotyczące dużych projektów infrastrukturalnych i umów długoterminowych, takich jak koncesje, w tym wytyczne, metody lub wzorcowe przepisy dotyczące alokacji ryzyka i mechanizmów korekty finansowej;</w:t>
      </w:r>
    </w:p>
    <w:p>
      <w:r>
        <w:t>d) pełni rolę pojedynczego punktu kontaktowego dla Komisji, właściwych organów innych państw członkowskich oraz, w stosownych przypadkach, odpowiednich zainteresowanych stron w sprawach związanych z niniejszym rozporządzeniem.</w:t>
      </w:r>
    </w:p>
    <w:p>
      <w:r>
        <w:t>Państwa członkowskie mogą postanowić, że modyfikacje dużych projektów infrastrukturalnych i umów długoterminowych, takich jak koncesje, wiążące się ze wzrostem wartości przekraczającym 50 % wartości pierwotnej umowy, podlegają ustrukturyzowanej i przejrzystej procedurze uprzedniego przeglądu przeprowadzanej przez krajowy organ koordynujący.</w:t>
      </w:r>
    </w:p>
    <w:p>
      <w:r>
        <w:t>3. Wyznaczenie krajowego organu koordynującego zgodnie z ust. 1 nie ma wpływu na podział zadań i uprawnień między właściwymi organami na mocy prawa krajowego.</w:t>
      </w:r>
    </w:p>
    <w:p>
      <w:r>
        <w:t>4. Państwa członkowskie powiadamiają Komisję o krajowym organie koordynującym wyznaczonym zgodnie z ust. 1 oraz o wszelkich późniejszych zmianach w tym zakresie.</w:t>
      </w:r>
    </w:p>
    <w:p>
      <w:pPr>
        <w:pStyle w:val="Heading3"/>
        <w:jc w:val="center"/>
      </w:pPr>
      <w:r>
        <w:t>Artykuł 139</w:t>
      </w:r>
    </w:p>
    <w:p>
      <w:pPr>
        <w:pStyle w:val="Heading4"/>
        <w:jc w:val="center"/>
      </w:pPr>
      <w:r>
        <w:t>Profesjonalizacja i budowanie zdolności</w:t>
      </w:r>
    </w:p>
    <w:p>
      <w:r>
        <w:t>1. Państwa członkowskie zapewniają, aby profesjonalizacja zamówień publicznych była długoterminowym i strategicznym elementem zarządzania publicznego, poprzez podejmowanie odpowiednich środków, w tym ustaleń instytucjonalnych, organizacyjnych, finansowych i dotyczących zasobów ludzkich.</w:t>
      </w:r>
    </w:p>
    <w:p>
      <w:r>
        <w:t>2. Środki przyjęte na podstawie niniejszego artykułu wspierają profesjonalizację nabywców publicznych w całym cyklu udzielania zamówień publicznych.</w:t>
      </w:r>
    </w:p>
    <w:p>
      <w:r>
        <w:t>3. Ponadto państwa członkowskie promują środki mające na celu zwiększenie zdolności wykonawców, w szczególności MŚP, do skutecznego udziału w postępowaniach o udzielenie zamówienia publicznego, a także środki wspierające inne podmioty przyczyniające się do funkcjonowania systemu zamówień publicznych, takie jak organy nadzoru.</w:t>
      </w:r>
    </w:p>
    <w:p>
      <w:r>
        <w:t>4. Państwa członkowskie przyjmują, wdrażają i okresowo aktualizują krajową strategię profesjonalizacji zamówień publicznych. Strategia ta obejmuje co najmniej cele, środki i odpowiednie ustalenia dotyczące monitorowania rozwoju umiejętności i kompetencji nabywców publicznych na szczeblu krajowym, regionalnym i lokalnym.</w:t>
      </w:r>
    </w:p>
    <w:p>
      <w:r>
        <w:t>5. Państwa członkowskie dokonują przeglądu i aktualizacji strategii w świetle ust. 6.</w:t>
      </w:r>
    </w:p>
    <w:p>
      <w:r>
        <w:t>6. Państwa członkowskie zapewniają nabywcom publicznym dostęp do odpowiednich struktur wsparcia w całym cyklu udzielania zamówień publicznych, na szczeblu krajowym, regionalnym i lokalnym, ze szczególnym uwzględnieniem nabywców publicznych o ograniczonych zdolnościach administracyjnych.</w:t>
      </w:r>
    </w:p>
    <w:p>
      <w:r>
        <w:t>Te struktury wsparcia zapewniają nabywcom publicznym wytyczne, doradztwo, pomoc i inne środki budowania zdolności, w szczególności w odniesieniu do:</w:t>
      </w:r>
    </w:p>
    <w:p>
      <w:r>
        <w:t>planowanie zamówień publicznych i ocena potrzeb;</w:t>
      </w:r>
    </w:p>
    <w:p>
      <w:r>
        <w:t>zaangażowanie rynkowe i dialog z wykonawcami;</w:t>
      </w:r>
    </w:p>
    <w:p>
      <w:r>
        <w:t>c) ocenę ryzyka i zarządzanie ryzykiem;</w:t>
      </w:r>
    </w:p>
    <w:p>
      <w:r>
        <w:t>uczciwość, przejrzystość i zapobieganie konfliktom interesów, nadużyciom finansowym i korupcji;</w:t>
      </w:r>
    </w:p>
    <w:p>
      <w:r>
        <w:t>e) przygotowanie i przeprowadzenie postępowań o udzielenie zamówienia;</w:t>
      </w:r>
    </w:p>
    <w:p>
      <w:r>
        <w:t>zrównoważone, innowacyjne i strategiczne zamówienia publiczne;</w:t>
      </w:r>
    </w:p>
    <w:p>
      <w:r>
        <w:t>g) zarządzanie umowami i monitorowanie wyników;</w:t>
      </w:r>
    </w:p>
    <w:p>
      <w:r>
        <w:t>gromadzenie i rozpowszechnianie dobrych praktyk;</w:t>
      </w:r>
    </w:p>
    <w:p>
      <w:r>
        <w:t>i) cyfryzacja i wykorzystanie elektronicznych systemów zamówień publicznych i danych;</w:t>
      </w:r>
    </w:p>
    <w:p>
      <w:r>
        <w:t>j) zarządzanie łańcuchem dostaw i odporność.</w:t>
      </w:r>
    </w:p>
    <w:p>
      <w:r>
        <w:t>7. Struktury wsparcia mogą również zapewniać wytyczne, doradztwo, pomoc i inne środki budowania zdolności wykonawcom, w szczególności MŚP, w celu ułatwienia im dostępu do zamówień publicznych, a także innym podmiotom przyczyniającym się do funkcjonowania systemu zamówień publicznych.</w:t>
      </w:r>
    </w:p>
    <w:p>
      <w:r>
        <w:t>8. Komisja wspiera państwa członkowskie w ich wysiłkach na rzecz zwiększenia profesjonalizacji zamówień publicznych, w tym poprzez promowanie współpracy między krajowymi strukturami wsparcia, wymianę wiedzy i dobrych praktyk, wzajemne uczenie się, stosowanie narzędzi budowania zdolności oraz, w stosownych przypadkach, opracowywanie dodatkowych środków.</w:t>
      </w:r>
    </w:p>
    <w:p>
      <w:r>
        <w:t>9. Państwa członkowskie monitorują i oceniają wdrażanie i skuteczność środków przyjętych na podstawie niniejszego artykułu, w tym ich wpływ na funkcjonowanie systemu zamówień publicznych, oraz składają sprawozdania w ramach sprawozdawczości, o której mowa w art. 137 ust. 2.</w:t>
      </w:r>
    </w:p>
    <w:p>
      <w:pPr>
        <w:pStyle w:val="Heading3"/>
        <w:jc w:val="center"/>
      </w:pPr>
      <w:r>
        <w:t>Artykuł 140</w:t>
      </w:r>
    </w:p>
    <w:p>
      <w:pPr>
        <w:pStyle w:val="Heading4"/>
        <w:jc w:val="center"/>
      </w:pPr>
      <w:r>
        <w:t>Zarządzanie uczciwością</w:t>
      </w:r>
    </w:p>
    <w:p>
      <w:r>
        <w:t>1. Nabywcy publiczni podejmują odpowiednie, proporcjonalne i skuteczne środki w celu zwalczania nadużyć finansowych, faworyzowania, zmowy i korupcji oraz w celu skutecznego zapobiegania konfliktom interesów powstającym w trakcie prowadzenia postępowań o udzielenie zamówienia i wykonywania zamówień publicznych, ich identyfikowania i eliminowania. Środki te mają na celu uniknięcie wszelkich zakłóceń konkurencji, zapewnienie przejrzystości postępowania oraz zagwarantowanie równego traktowania wszystkich wykonawców pochodzących z Unii i wykonawców objętych niniejszą Umową zgodnie z art. 70 ust. 1, uczestniczących w postępowaniu o udzielenie zamówienia.</w:t>
      </w:r>
    </w:p>
    <w:p>
      <w:r>
        <w:t>2. W celu wsparcia środków, o których mowa w ust. 1 niniejszego artykułu, nabywcy publiczni korzystają, przed udzieleniem zamówienia i w stosownych przypadkach w trakcie realizacji zamówienia, z odpowiednich narzędzi analizy ryzyka opartych na danych, takich jak Arachne+ lub równoważne narzędzie udostępnione na szczeblu krajowym, w celu zapobiegania nieprawidłowościom, nadużyciom finansowym, zmowom, korupcji i konfliktom interesów oraz ich wykrywania. Państwa członkowskie zapewniają, aby narzędzia, o których mowa w zdaniu pierwszym, były skutecznie dostępne dla nabywców publicznych oraz, w stosownych przypadkach, interoperacyjne z krajowymi przestrzeniami danych dotyczących zamówień publicznych, o których mowa w art. 134.</w:t>
      </w:r>
    </w:p>
    <w:p>
      <w:r>
        <w:t>3. W przypadku gdy wykorzystanie narzędzi, o których mowa w ust. 2 niniejszego artykułu, wskazuje na wzorzec wysokiego ryzyka, w tym przesłanki świadczące o zmowie, konflikcie interesów lub innym ryzyku dla integralności, nabywca publiczny odnotowuje w indywidualnej dokumentacji zgodnie z art. 109 odpowiednie środki podjęte w celu zaradzenia sytuacji lub wyjaśnia, dlaczego nie uznano takich środków za konieczne.</w:t>
      </w:r>
    </w:p>
    <w:p>
      <w:r>
        <w:t>W przypadku gdy zgodnie z ust. 2 niniejszego artykułu nabywca publiczny stwierdzi wysokie ryzyko nieprawidłowości, wszyscy pracownicy ds. zamówień zaangażowani w przygotowanie, ocenę lub udzielenie zamówienia publicznego są zobowiązani do wypełnienia i złożenia elektronicznej deklaracji integralności. Nabywca publiczny podejmuje odpowiednie środki w celu usunięcia wszelkich nieprawidłowości, które zidentyfikował i zarejestrował w indywidualnej dokumentacji zgodnie z art. 109, oraz podejmuje działania następcze.</w:t>
      </w:r>
    </w:p>
    <w:p>
      <w:pPr>
        <w:pStyle w:val="Heading2"/>
        <w:jc w:val="center"/>
      </w:pPr>
      <w:r>
        <w:t>Część VII</w:t>
      </w:r>
    </w:p>
    <w:p>
      <w:pPr>
        <w:pStyle w:val="Heading2"/>
        <w:jc w:val="center"/>
      </w:pPr>
      <w:r>
        <w:t>Przepisy końcowe</w:t>
      </w:r>
    </w:p>
    <w:p>
      <w:pPr>
        <w:pStyle w:val="Heading2"/>
        <w:jc w:val="center"/>
      </w:pPr>
      <w:r>
        <w:t>Tytuł I</w:t>
      </w:r>
    </w:p>
    <w:p>
      <w:pPr>
        <w:pStyle w:val="Heading2"/>
        <w:jc w:val="center"/>
      </w:pPr>
      <w:r>
        <w:t>Wykonywanie przekazanych uprawnień i inne przepisy przekrojowe</w:t>
      </w:r>
    </w:p>
    <w:p>
      <w:pPr>
        <w:pStyle w:val="Heading3"/>
        <w:jc w:val="center"/>
      </w:pPr>
      <w:r>
        <w:t>Artykuł 141</w:t>
      </w:r>
    </w:p>
    <w:p>
      <w:pPr>
        <w:pStyle w:val="Heading4"/>
        <w:jc w:val="center"/>
      </w:pPr>
      <w:r>
        <w:t>Wykonywanie przekazanych uprawnień</w:t>
      </w:r>
    </w:p>
    <w:p>
      <w:r>
        <w:t>1. Powierzenie Komisji uprawnień do przyjmowania aktów delegowanych podlega warunkom określonym w niniejszym artykule.</w:t>
      </w:r>
    </w:p>
    <w:p>
      <w:r>
        <w:t>2. Uprawnienia do przyjęcia aktów delegowanych, o których mowa w art. 2 ust. 2, art. 7 ust. 5, art. 54 ust. 2 i 4, art. 65 ust. 4, art. 66 ust. 6, art. 69 ust. 4, art. 72 ust. 1, art. 75, art. 110 ust. 6, art. 128 ust. 2, art. 133 ust. 3 i art. 134 ust. 7, powierza się Komisji na czas nieokreślony od dnia... [Urząd Publikacji: proszę wstawić datę wejścia w życie niniejszego rozporządzenia].</w:t>
      </w:r>
    </w:p>
    <w:p>
      <w:r>
        <w:t>3. Przekazanie uprawnień, o którym mowa w art. 2 ust. 2, art. 7 ust. 5, art. 54 ust. 2 i 4, art. 65 ust. 4, art. 66 ust. 6, art. 69 ust. 4, art. 72 ust. 1, art. 75, art. 110 ust. 6, art. 128 ust. 2, art. 133 ust. 3 i art. 134 ust. 7, może zostać w dowolnym momencie odwołane przez Parlament Europejski lub przez Radę. Decyzja o odwołaniu kończy przekazanie określonych w niej uprawnień. Decyzja o odwołaniu staje się skuteczna następnego dnia po jej opublikowaniu w Dzienniku Urzędowym Unii Europejskiej lub w późniejszym terminie określonym w tej decyzji. Nie wpływa ona na ważność już obowiązujących aktów delegowanych.</w:t>
      </w:r>
    </w:p>
    <w:p>
      <w:r>
        <w:t>4. Niezwłocznie po przyjęciu aktu delegowanego Komisja przekazuje go równocześnie Parlamentowi Europejskiemu i Radzie.</w:t>
      </w:r>
    </w:p>
    <w:p>
      <w:r>
        <w:t>5. Akt delegowany przyjęty na podstawie art. 2 ust. 2, art. 7 ust. 5, art. 54 ust. 2 i 4, art. 65 ust. 4, art. 66 ust. 6, art. 69 ust. 4, art. 72 ust. 1, art. 75, art. 110 ust. 6, art. 128 ust. 2, art. 133 ust. 3 i art. 134 ust. 7 wchodzi w życie tylko wówczas, gdy ani Parlament Europejski, ani Rada nie wyraziły sprzeciwu w terminie dwóch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p>
      <w:pPr>
        <w:pStyle w:val="Heading3"/>
        <w:jc w:val="center"/>
      </w:pPr>
      <w:r>
        <w:t>Artykuł 142</w:t>
      </w:r>
    </w:p>
    <w:p>
      <w:pPr>
        <w:pStyle w:val="Heading4"/>
        <w:jc w:val="center"/>
      </w:pPr>
      <w:r>
        <w:t>Tryb pilny</w:t>
      </w:r>
    </w:p>
    <w:p>
      <w:r>
        <w:t>1. Akty delegowane przyjęte w trybie niniejszego artykułu wchodzą w życie niezwłocznie i mają zastosowanie dopóki nie zostanie wyrażony sprzeciw zgodnie z ust. 2. Przekazując akt delegowany Parlamentowi Europejskiemu i Radzie, podaje się powody zastosowania trybu pilnego.</w:t>
      </w:r>
    </w:p>
    <w:p>
      <w:r>
        <w:t>2. Parlament Europejski albo Rada mogą wyrazić sprzeciw wobec aktu delegowanego zgodnie z procedurą, o której mowa w art. 141 ust. 5. W takim przypadku Komisja uchyla akt niezwłocznie po powiadomieniu jej przez Parlament Europejski lub Radę o decyzji o sprzeciwie.</w:t>
      </w:r>
    </w:p>
    <w:p>
      <w:pPr>
        <w:pStyle w:val="Heading3"/>
        <w:jc w:val="center"/>
      </w:pPr>
      <w:r>
        <w:t>Artykuł 143</w:t>
      </w:r>
    </w:p>
    <w:p>
      <w:pPr>
        <w:pStyle w:val="Heading4"/>
        <w:jc w:val="center"/>
      </w:pPr>
      <w:r>
        <w:t>Procedura komitetowa</w:t>
      </w:r>
    </w:p>
    <w:p>
      <w:r>
        <w:t>1. Komisję wspomaga Komitet Doradczy ds. Zamówień Publicznych ustanowiony decyzją Rady 71/306/EWG. Komitet ten jest komitetem w rozumieniu rozporządzenia (UE) nr 182/2011.</w:t>
      </w:r>
    </w:p>
    <w:p>
      <w:r>
        <w:t>2. W przypadku odesłania do niniejszego ustępu stosuje się art. 4 rozporządzenia (UE) nr 182/2011.</w:t>
      </w:r>
    </w:p>
    <w:p>
      <w:r>
        <w:t>3. W przypadku odesłania do niniejszego ustępu stosuje się art. 5 rozporządzenia (UE) nr 182/2011.</w:t>
      </w:r>
    </w:p>
    <w:p>
      <w:pPr>
        <w:pStyle w:val="Heading3"/>
        <w:jc w:val="center"/>
      </w:pPr>
      <w:r>
        <w:t>Artykuł 144</w:t>
      </w:r>
    </w:p>
    <w:p>
      <w:pPr>
        <w:pStyle w:val="Heading4"/>
        <w:jc w:val="center"/>
      </w:pPr>
      <w:r>
        <w:t>Regiony najbardziej oddalone</w:t>
      </w:r>
    </w:p>
    <w:p>
      <w:r>
        <w:t>W przypadku gdy szczególne potrzeby rynków zamówień publicznych regionów najbardziej oddalonych Unii w rozumieniu art. 349 Traktatu nie mogą zostać zaspokojone bez dostosowania niektórych procedur określonych w niniejszym rozporządzeniu, państwa członkowskie mogą dostosować stosowanie szczególnych aspektów części III niniejszego rozporządzenia zgodnie z międzynarodowymi zobowiązaniami Unii i bez uszczerbku dla zasad równego traktowania, niedyskryminacji i przejrzystości. Państwa członkowskie powiadamiają Komisję i pozostałe państwa członkowskie o krajowych przepisach ustawowych, wykonawczych i administracyjnych przewidujących takie dostosowania, a także o ich szczegółowym uzasadnieniu. Przedmiotowe dostosowania nie mają zastosowania przed upływem trzech miesięcy od tego powiadomienia. Komisja niezwłocznie publikuje dostosowania w Dzienniku Urzędowym Unii Europejskiej.</w:t>
      </w:r>
    </w:p>
    <w:p>
      <w:pPr>
        <w:pStyle w:val="Heading3"/>
        <w:jc w:val="center"/>
      </w:pPr>
      <w:r>
        <w:t>Artykuł 145</w:t>
      </w:r>
    </w:p>
    <w:p>
      <w:pPr>
        <w:pStyle w:val="Heading4"/>
        <w:jc w:val="center"/>
      </w:pPr>
      <w:r>
        <w:t>Udzielanie zamówień przy wsparciu Unii</w:t>
      </w:r>
    </w:p>
    <w:p>
      <w:r>
        <w:t>Oprócz wszelkich przepisów określonych w niniejszym rozporządzeniu w odniesieniu do udzielania i wykonywania zamówień wspieranych w ramach programu lub instrumentu Unii nabywcy publiczni stosują wszelkie warunki niezbędne do spełnienia wymogów dotyczących wsparcia unijnego we wszystkich trybach zarządzania ustanowionych w art. 62 rozporządzenia (UE, Euratom) 2024/2509.</w:t>
      </w:r>
    </w:p>
    <w:p>
      <w:pPr>
        <w:pStyle w:val="Heading2"/>
        <w:jc w:val="center"/>
      </w:pPr>
      <w:r>
        <w:t>Tytuł II</w:t>
      </w:r>
    </w:p>
    <w:p>
      <w:pPr>
        <w:pStyle w:val="Heading2"/>
        <w:jc w:val="center"/>
      </w:pPr>
      <w:r>
        <w:t>Zmiany, uchylenia, przepisy przejściowe, wejście w życie i stosowanie</w:t>
      </w:r>
    </w:p>
    <w:p>
      <w:pPr>
        <w:pStyle w:val="Heading3"/>
        <w:jc w:val="center"/>
      </w:pPr>
      <w:r>
        <w:t>Artykuł 146</w:t>
      </w:r>
    </w:p>
    <w:p>
      <w:pPr>
        <w:pStyle w:val="Heading4"/>
        <w:jc w:val="center"/>
      </w:pPr>
      <w:r>
        <w:t>Uchylenie</w:t>
      </w:r>
    </w:p>
    <w:p>
      <w:r>
        <w:t>1. Dyrektywa 2014/23/UE, dyrektywa 2014/24/UE i dyrektywa 2014/25/UE tracą moc.</w:t>
      </w:r>
    </w:p>
    <w:p>
      <w:r>
        <w:t>2. Odesłania do uchylonych dyrektyw odczytuje się jako odesłania do niniejszego rozporządzenia zgodnie z tabelą korelacji w załączniku VIII część A.</w:t>
      </w:r>
    </w:p>
    <w:p>
      <w:pPr>
        <w:pStyle w:val="Heading3"/>
        <w:jc w:val="center"/>
      </w:pPr>
      <w:r>
        <w:t>Artykuł 147</w:t>
      </w:r>
    </w:p>
    <w:p>
      <w:pPr>
        <w:pStyle w:val="Heading4"/>
        <w:jc w:val="center"/>
      </w:pPr>
      <w:r>
        <w:t>Zmiany w horyzontalnych przepisach dotyczących zamówień publicznych</w:t>
      </w:r>
    </w:p>
    <w:p>
      <w:r>
        <w:t>(1) W rozporządzeniu (UE) 2024/1781 wprowadza się następujące zmiany:</w:t>
      </w:r>
    </w:p>
    <w:p>
      <w:r>
        <w:t>a) Skreśla się art. 65;</w:t>
      </w:r>
    </w:p>
    <w:p>
      <w:r>
        <w:t>b) w art. 74 ust. 3 skreśla się lit. b).</w:t>
      </w:r>
    </w:p>
    <w:p>
      <w:r>
        <w:t>Odesłania do art. 65 i art. 74 ust. 3 lit. b) rozporządzenia 2024/1781 odczytuje się jako odesłania odpowiednio do art. 54 i art. 26 ust. 1 lit. a) niniejszego rozporządzenia;</w:t>
      </w:r>
    </w:p>
    <w:p>
      <w:r>
        <w:t>(2) W art. 25 rozporządzenia (UE) 2024/1735 wprowadza się następujące zmiany:</w:t>
      </w:r>
    </w:p>
    <w:p>
      <w:r>
        <w:t>a) uchyla się ust. 4 i 5;</w:t>
      </w:r>
    </w:p>
    <w:p>
      <w:r>
        <w:t>b) dodaje się ustęp w brzmieniu:</w:t>
      </w:r>
    </w:p>
    <w:p>
      <w:r>
        <w:t>„Niniejszy artykuł nie ma zastosowania do postępowań o udzielenie zamówienia publicznego na technologie neutralne emisyjnie, które są wykorzystywane w projekcie wyłonionym w drodze aukcji zgodnie z art. 26.”;</w:t>
      </w:r>
    </w:p>
    <w:p>
      <w:r>
        <w:t>Odesłania do art. 25 ust. 4 i 5 rozporządzenia (UE) 2024/1735 odczytuje się jako odesłania do art. 54 niniejszego rozporządzenia;</w:t>
      </w:r>
    </w:p>
    <w:p>
      <w:r>
        <w:t>(3) Uchyla się art. 85 rozporządzenia (UE) 2023/1542.</w:t>
      </w:r>
    </w:p>
    <w:p>
      <w:r>
        <w:t>Odesłania do art. 85 rozporządzenia (UE) 2023/1542 odczytuje się jako odesłania do art. 54 niniejszego rozporządzenia;</w:t>
      </w:r>
    </w:p>
    <w:p>
      <w:r>
        <w:t>(4) Uchyla się art. 83 rozporządzenia (UE) 2024/3110.</w:t>
      </w:r>
    </w:p>
    <w:p>
      <w:r>
        <w:t>Odesłania do art. 83 rozporządzenia (UE) 2024/3110 odczytuje się jako odesłania do art. 54 niniejszego rozporządzenia;</w:t>
      </w:r>
    </w:p>
    <w:p>
      <w:r>
        <w:t>(5) Uchyla się art. 63 rozporządzenia (UE) 2025/40.</w:t>
      </w:r>
    </w:p>
    <w:p>
      <w:r>
        <w:t>Odesłania do art. 63 rozporządzenia (UE) 2025/40 odczytuje się jako odesłania do art. 54 niniejszego rozporządzenia;</w:t>
      </w:r>
    </w:p>
    <w:p>
      <w:r>
        <w:t>(6) W dyrektywie 2023/1791 wprowadza się następujące zmiany:</w:t>
      </w:r>
    </w:p>
    <w:p>
      <w:r>
        <w:t>a) Uchyla się art. 7;</w:t>
      </w:r>
    </w:p>
    <w:p>
      <w:r>
        <w:t>b) Załącznik IV skreśla się.</w:t>
      </w:r>
    </w:p>
    <w:p>
      <w:r>
        <w:t>Odesłania do art. 7 dyrektywy 2023/1791 i załącznika IV do tej dyrektywy odczytuje się jako odesłania do art. 52 niniejszego rozporządzenia;</w:t>
      </w:r>
    </w:p>
    <w:p>
      <w:r>
        <w:t>7) w art. 11 ust. 1 dyrektywy 2008/98/WE skreśla się wyrazy „kryteria udzielania zamówień”;</w:t>
      </w:r>
    </w:p>
    <w:p>
      <w:r>
        <w:t>(8) Art. 26 ust. 1 lit. d) rozporządzenia (UE) 2024/1252 otrzymuje brzmienie:</w:t>
      </w:r>
    </w:p>
    <w:p>
      <w:r>
        <w:t>zwiększenie wykorzystania wtórnych surowców krytycznych, w tym za pomocą środków takich jak uwzględnianie zawartości materiałów z recyklingu w zachętach finansowych do stosowania wtórnych surowców krytycznych;”;</w:t>
      </w:r>
    </w:p>
    <w:p>
      <w:r>
        <w:t>Odesłania do art. 26 ust. 1 lit. d) rozporządzenia (UE) 2024/1252 odczytuje się jako odesłania do art. 51 niniejszego rozporządzenia w zakresie, w jakim dotyczą one kryteriów udzielenia zamówienia związanych z zamówieniami publicznymi;</w:t>
      </w:r>
    </w:p>
    <w:p>
      <w:r>
        <w:t>9) w art. 24 dyrektywy 2019/882 uchyla się ust. 1.</w:t>
      </w:r>
    </w:p>
    <w:p>
      <w:r>
        <w:t>Odesłania do art. 24 ust. 1 dyrektywy 2019/882 odczytuje się jako odesłania do art. 56 niniejszego rozporządzenia;</w:t>
      </w:r>
    </w:p>
    <w:p>
      <w:r>
        <w:t>10) w art. 8 dyrektywy 2022/2381 uchyla się ust. 3.</w:t>
      </w:r>
    </w:p>
    <w:p>
      <w:r>
        <w:t>Odesłania do art. 8 ust. 3 dyrektywy 2022/2381 odczytuje się jako odesłania do art. 4 ust. 4 niniejszego rozporządzenia;</w:t>
      </w:r>
    </w:p>
    <w:p>
      <w:r>
        <w:t>(11) Skreśla się art. 5 rozporządzenia (UE) 2024/2847.</w:t>
      </w:r>
    </w:p>
    <w:p>
      <w:r>
        <w:t>Odesłania do art. 5 rozporządzenia (UE) 2024/2847 odczytuje się jako odesłania do art. 68 niniejszego rozporządzenia;</w:t>
      </w:r>
    </w:p>
    <w:p>
      <w:r>
        <w:t>(12) Skreśla się art. 31 dyrektywy (UE) 2024/1760.</w:t>
      </w:r>
    </w:p>
    <w:p>
      <w:r>
        <w:t>Odesłania do art. 31 dyrektywy (UE) 2024/1760 odczytuje się jako odesłania do art. 55 niniejszego rozporządzenia;</w:t>
      </w:r>
    </w:p>
    <w:p>
      <w:r>
        <w:t>13) w art. 63 ust. 3 rozporządzenia (UE) 2024/1157 uchyla się lit. c).</w:t>
      </w:r>
    </w:p>
    <w:p>
      <w:r>
        <w:t>Odesłania do art. 63 ust. 3 lit. c) rozporządzenia (UE) 2024/1157 odczytuje się jako odesłania do art. 26 ust. 1 lit. a) niniejszego rozporządzenia;</w:t>
      </w:r>
    </w:p>
    <w:p>
      <w:r>
        <w:t>14) w art. 5 ust. 1 rozporządzenia (UE) 1370/2007 dodaje się akapit w brzmieniu:</w:t>
      </w:r>
    </w:p>
    <w:p>
      <w:r>
        <w:t>„Zamówienia publiczne na usługi na podstawie niniejszego rozporządzenia podlegają przepisom dotyczącym »bezpieczeństwa i odporności« oraz »preferencji europejskiej« określonym w części III tytuł II rozdziały 4 i 5... [Urząd Publikacji: proszę dostosować do numeru niniejszego rozporządzenia]”.</w:t>
      </w:r>
    </w:p>
    <w:p>
      <w:pPr>
        <w:pStyle w:val="Heading3"/>
        <w:jc w:val="center"/>
      </w:pPr>
      <w:r>
        <w:t>Artykuł 148</w:t>
      </w:r>
    </w:p>
    <w:p>
      <w:pPr>
        <w:pStyle w:val="Heading4"/>
        <w:jc w:val="center"/>
      </w:pPr>
      <w:r>
        <w:t>Przegląd</w:t>
      </w:r>
    </w:p>
    <w:p>
      <w:r>
        <w:t>1. Co siedem lat od dnia... [Urząd Publikacji: proszę wstawić datę wejścia w życie niniejszego rozporządzenia] Komisja przeprowadza ocenę niniejszego rozporządzenia.</w:t>
      </w:r>
    </w:p>
    <w:p>
      <w:r>
        <w:t>2. Komisja przedstawia sprawozdanie z głównych ustaleń oceny przeprowadzonej zgodnie z ust. 1 Parlamentowi Europejskiemu, Radzie, Europejskiemu Komitetowi Ekonomiczno-Społecznemu i Komitetowi Regionów. Państwa członkowskie przekazują Komisji informacje niezbędne do przygotowania sprawozdania.</w:t>
      </w:r>
    </w:p>
    <w:p>
      <w:pPr>
        <w:pStyle w:val="Heading3"/>
        <w:jc w:val="center"/>
      </w:pPr>
      <w:r>
        <w:t>Artykuł 149</w:t>
      </w:r>
    </w:p>
    <w:p>
      <w:pPr>
        <w:pStyle w:val="Heading4"/>
        <w:jc w:val="center"/>
      </w:pPr>
      <w:r>
        <w:t>Wejście w życie i rozpoczęcie stosowania</w:t>
      </w:r>
    </w:p>
    <w:p>
      <w:r>
        <w:t>Niniejsze rozporządzenie wchodzi w życie dwudziestego dnia po jego opublikowaniu w Dzienniku Urzędowym Unii Europejskiej.</w:t>
      </w:r>
    </w:p>
    <w:p>
      <w:r>
        <w:t>Niniejsze rozporządzenie stosuje się od dnia... [Urząd Publikacji: proszę wstawić datę przypadającą dwa lata po wejściu w życie niniejszego rozporządzenia] r.</w:t>
      </w:r>
    </w:p>
    <w:p>
      <w:r>
        <w:t>Niniejsze rozporządzenie wiąże w całości i jest bezpośrednio stosowane we wszystkich państwach członkowskich.</w:t>
      </w:r>
    </w:p>
    <w:p>
      <w:r>
        <w:t>Sporządzono w Brukseli dnia r.</w:t>
      </w:r>
    </w:p>
    <w:p>
      <w:r>
        <w:t>W imieniu Parlamentu Europejskiego W imieniu Rady</w:t>
      </w:r>
    </w:p>
    <w:p>
      <w:r>
        <w:t>Przewodniczący Przewodniczący</w:t>
      </w:r>
    </w:p>
    <w:p>
      <w:r>
        <w:t>[...] [...] [...]</w:t>
      </w:r>
    </w:p>
    <w:p>
      <w:pPr>
        <w:pStyle w:val="Heading3"/>
        <w:jc w:val="center"/>
      </w:pPr>
      <w:r>
        <w:t>OCENA SKUTKÓW FINANSOWYCH I CYFROWYCH REGULACJI</w:t>
      </w:r>
    </w:p>
    <w:p>
      <w:r>
        <w:t>1. FRAMEWORKOFTHEPROPOSAL/INICJATYWA</w:t>
      </w:r>
    </w:p>
    <w:p>
      <w:r>
        <w:t>1.1. Tytuł wniosku/inicjatywy</w:t>
      </w:r>
    </w:p>
    <w:p>
      <w:r>
        <w:t>Rozporządzenie Parlamentu Europejskiego i Rady w sprawie zamówień publicznych i koncesji, uchylające dyrektywę 2014/23/UE, dyrektywę 2014/24/UE i dyrektywę 2014/25/UE oraz zmieniające rozporządzenie (UE) 2024/1157, rozporządzenie (UE) 2024/1781, rozporządzenie (UE) 2024/3110, rozporządzenie (UE) 2023/1542, rozporządzenie</w:t>
      </w:r>
    </w:p>
    <w:p>
      <w:r>
        <w:t>(UE) 2025/40, dyrektywę (UE) 2023/1791, dyrektywę (UE) 2024/1760, dyrektywę 2008/98/WE, rozporządzenie (UE) 2024/1252, dyrektywę (UE) 2019/882, dyrektywę (UE) 2022/2381, rozporządzenie (UE) 2024/1735 i rozporządzenie (UE) 2024/2847.</w:t>
      </w:r>
    </w:p>
    <w:p>
      <w:r>
        <w:t>1.2. Obszary polityki, których dotyczy wniosek</w:t>
      </w:r>
    </w:p>
    <w:p>
      <w:r>
        <w:t>Zamówienia publiczne; Rynek wewnętrzny; Sieci komunikacyjne, treści i technologie</w:t>
      </w:r>
    </w:p>
    <w:p>
      <w:r>
        <w:t>1.3. Szczegółowy(e)</w:t>
      </w:r>
    </w:p>
    <w:p>
      <w:r>
        <w:t>1.3.1. Cel(e) ogólny(-e)</w:t>
      </w:r>
    </w:p>
    <w:p>
      <w:r>
        <w:t>Ogólnym celem jest uczynienie z zamówień publicznych skuteczniejszego instrumentu inwestycji publicznych, wspierającego cele polityki, w szczególności integrację jednolitego rynku, strategiczną autonomię gospodarczą, zrównoważony rozwój społeczny i ekologiczny oraz innowacje. Cele ogólne przyczyniają się do osiągnięcia celów zrównoważonego rozwoju, w szczególności celu nr 9 „Przemysł, innowacje i infrastruktura”, celu nr #12 „Odpowiedzialna konsumpcja i produkcja” oraz celu nr 8 „Wzrost gospodarczy i godna praca”.</w:t>
      </w:r>
    </w:p>
    <w:p>
      <w:r>
        <w:t>1.3.2. Cel(e) szczegółowy(-e)</w:t>
      </w:r>
    </w:p>
    <w:p>
      <w:r>
        <w:t>Z celów ogólnych wyprowadzono cztery cele szczegółowe, podając praktyczne szczegóły dotyczące sposobu ich osiągnięcia.</w:t>
      </w:r>
    </w:p>
    <w:p>
      <w:r>
        <w:t>Cel szczegółowy nr 1:</w:t>
      </w:r>
    </w:p>
    <w:p>
      <w:r>
        <w:t>Uproszczenie i promowanie elastyczności w postępowaniach o udzielenie zamówienia oraz zwiększenie jasności prawa i spójności obowiązujących przepisów, tak aby ułatwić procesy udzielania zamówień publicznych i dostęp do nich wykonawcom na całym jednolitym rynku, w tym MŚP.</w:t>
      </w:r>
    </w:p>
    <w:p>
      <w:r>
        <w:t>Cel szczegółowy nr 2:</w:t>
      </w:r>
    </w:p>
    <w:p>
      <w:r>
        <w:t>Zwiększenie wykorzystania środowiskowych, społecznych i innowacyjnych zamówień publicznych wspierających strategiczne cele polityki Unii oraz zapewnienie bardziej spójnych ram prawnych w tym zakresie.</w:t>
      </w:r>
    </w:p>
    <w:p>
      <w:r>
        <w:t>Cel szczegółowy nr 3:</w:t>
      </w:r>
    </w:p>
    <w:p>
      <w:r>
        <w:t>Poprawa bezpieczeństwa gospodarczego i strategicznej autonomii UE w zakresie zamówień publicznych poprzez promowanie spójnych ram prawnych w tym zakresie.</w:t>
      </w:r>
    </w:p>
    <w:p>
      <w:r>
        <w:t>Cel szczegółowy nr 4:</w:t>
      </w:r>
    </w:p>
    <w:p>
      <w:r>
        <w:t>Ułatwianie dostępu do informacji, danych i rozwiązań informatycznych dotyczących zamówień publicznych w celu zmniejszenia obciążeń administracyjnych oraz zwiększenia przejrzystości i monitorowania, a tym samym zapobieganie nieprawidłowym praktykom i ich ograniczanie oraz umożliwianie podejmowania decyzji politycznych.</w:t>
      </w:r>
    </w:p>
    <w:p>
      <w:r>
        <w:t>1.3.3. Oczekiwany(-e) wynik(i) i wpływ</w:t>
      </w:r>
    </w:p>
    <w:p>
      <w:r>
        <w:t>Określić skutki, jakie wniosek/inicjatywa powinien/powinna mieć dla</w:t>
      </w:r>
    </w:p>
    <w:p>
      <w:r>
        <w:t>beneficjenci/grupy docelowe.</w:t>
      </w:r>
    </w:p>
    <w:p>
      <w:r>
        <w:t>Oczekuje się, że niniejsze rozporządzenie przyniesie szereg pozytywnych wyników trzem głównym zainteresowanym stronom związanym z zamówieniami publicznymi, a mianowicie decydentom, nabywcom publicznym i wykonawcom. Głównymi oczekiwanymi rezultatami są łatwiejszy dostęp do negocjacji, wzrost poziomu konkurencji i zmniejszenie obciążeń administracyjnych.</w:t>
      </w:r>
    </w:p>
    <w:p>
      <w:r>
        <w:t>1.3.4. Wskaźniki skuteczności</w:t>
      </w:r>
    </w:p>
    <w:p>
      <w:r>
        <w:t>Proszę określić wskaźniki służące do monitorowania postępów i osiągnięć.</w:t>
      </w:r>
    </w:p>
    <w:p>
      <w:r>
        <w:t>Monitorowanie i</w:t>
      </w:r>
    </w:p>
    <w:p>
      <w:r>
        <w:t>aspekt oceny Odpowiedzialność za</w:t>
      </w:r>
    </w:p>
    <w:p>
      <w:r>
        <w:t>Wskaźnik(-i) Źródło(-a)</w:t>
      </w:r>
    </w:p>
    <w:p>
      <w:r>
        <w:t>i odpowiednie gromadzenie danych</w:t>
      </w:r>
    </w:p>
    <w:p>
      <w:r>
        <w:t>cele</w:t>
      </w:r>
    </w:p>
    <w:p>
      <w:r>
        <w:t>Cel szczegółowy nr 1: Uproszczenie, zwiększenie elastyczności i spójności przepisów i procedur dotyczących zamówień publicznych</w:t>
      </w:r>
    </w:p>
    <w:p>
      <w:r>
        <w:t>Długość</w:t>
      </w:r>
    </w:p>
    <w:p>
      <w:r>
        <w:t>procedury w dniach, licząc od momentu publikacji ogłoszenia o zamówieniu do momentu udzielenia zamówienia;</w:t>
      </w:r>
    </w:p>
    <w:p>
      <w:r>
        <w:t>Jednolity rynek i</w:t>
      </w:r>
    </w:p>
    <w:p>
      <w:r>
        <w:t>Jest ogólnodostępny</w:t>
      </w:r>
    </w:p>
    <w:p>
      <w:r>
        <w:t>Długość</w:t>
      </w:r>
    </w:p>
    <w:p>
      <w:r>
        <w:t>Konkurencyjność</w:t>
      </w:r>
    </w:p>
    <w:p>
      <w:r>
        <w:t>przetargi</w:t>
      </w:r>
    </w:p>
    <w:p>
      <w:r>
        <w:t>procedury w dniach</w:t>
      </w:r>
    </w:p>
    <w:p>
      <w:r>
        <w:t>Tabela wyników;</w:t>
      </w:r>
    </w:p>
    <w:p>
      <w:r>
        <w:t>nadanie ramom europejskim</w:t>
      </w:r>
    </w:p>
    <w:p>
      <w:r>
        <w:t>licząc od</w:t>
      </w:r>
    </w:p>
    <w:p>
      <w:r>
        <w:t>prostszy, PPDS Komisji;</w:t>
      </w:r>
    </w:p>
    <w:p>
      <w:r>
        <w:t>moment</w:t>
      </w:r>
    </w:p>
    <w:p>
      <w:r>
        <w:t>elastyczne i</w:t>
      </w:r>
    </w:p>
    <w:p>
      <w:r>
        <w:t>publikacja nowych narzędzi informatycznych oraz</w:t>
      </w:r>
    </w:p>
    <w:p>
      <w:r>
        <w:t>spójne?</w:t>
      </w:r>
    </w:p>
    <w:p>
      <w:r>
        <w:t>przewidziane systemy ogłoszeń o zamówieniach</w:t>
      </w:r>
    </w:p>
    <w:p>
      <w:r>
        <w:t>do czasu podpisania umowy;</w:t>
      </w:r>
    </w:p>
    <w:p>
      <w:r>
        <w:t>Wskaźnik anulowania;</w:t>
      </w:r>
    </w:p>
    <w:p>
      <w:r>
        <w:t>Udział w</w:t>
      </w:r>
    </w:p>
    <w:p>
      <w:r>
        <w:t>procedury z wykorzystaniem</w:t>
      </w:r>
    </w:p>
    <w:p>
      <w:r>
        <w:t>negocjacje</w:t>
      </w:r>
    </w:p>
    <w:p>
      <w:r>
        <w:t>Cel szczegółowy nr 2: Zwiększenie wykorzystania środowiskowych, społecznych i innowacyjnych zamówień publicznych</w:t>
      </w:r>
    </w:p>
    <w:p>
      <w:r>
        <w:t>Europejski</w:t>
      </w:r>
    </w:p>
    <w:p>
      <w:r>
        <w:t>Ma liczbę udziałów w jednolitym rynku oraz</w:t>
      </w:r>
    </w:p>
    <w:p>
      <w:r>
        <w:t>Komisja</w:t>
      </w:r>
    </w:p>
    <w:p>
      <w:r>
        <w:t>procedury (wartość konkurencyjności)</w:t>
      </w:r>
    </w:p>
    <w:p>
      <w:r>
        <w:t>Monitorowanie i</w:t>
      </w:r>
    </w:p>
    <w:p>
      <w:r>
        <w:t>aspekt oceny Odpowiedzialność za</w:t>
      </w:r>
    </w:p>
    <w:p>
      <w:r>
        <w:t>Wskaźnik(-i) Źródło(-a)</w:t>
      </w:r>
    </w:p>
    <w:p>
      <w:r>
        <w:t>i odpowiednie gromadzenie danych</w:t>
      </w:r>
    </w:p>
    <w:p>
      <w:r>
        <w:t>cele</w:t>
      </w:r>
    </w:p>
    <w:p>
      <w:r>
        <w:t>uwzględnienie i liczenie) tej tablicy wyników;</w:t>
      </w:r>
    </w:p>
    <w:p>
      <w:r>
        <w:t>środowiskowy, w tym:</w:t>
      </w:r>
    </w:p>
    <w:p>
      <w:r>
        <w:t>PPD;</w:t>
      </w:r>
    </w:p>
    <w:p>
      <w:r>
        <w:t>społecznym i środowiskowym,</w:t>
      </w:r>
    </w:p>
    <w:p>
      <w:r>
        <w:t>Nowe narzędzia informatyczne i</w:t>
      </w:r>
    </w:p>
    <w:p>
      <w:r>
        <w:t>innowacje społeczne i</w:t>
      </w:r>
    </w:p>
    <w:p>
      <w:r>
        <w:t>przewidziane systemy</w:t>
      </w:r>
    </w:p>
    <w:p>
      <w:r>
        <w:t>innowacje w zakresie elementów</w:t>
      </w:r>
    </w:p>
    <w:p>
      <w:r>
        <w:t>zwiększenie liczby procedur udzielania zamówień publicznych/udziału w procedurach oceny jakości kredytowej produktów;</w:t>
      </w:r>
    </w:p>
    <w:p>
      <w:r>
        <w:t>Udział w</w:t>
      </w:r>
    </w:p>
    <w:p>
      <w:r>
        <w:t>zamówienia publiczne na ochronę środowiska z wykorzystaniem oznakowania ekologicznego UE</w:t>
      </w:r>
    </w:p>
    <w:p>
      <w:r>
        <w:t>Cel szczegółowy nr 3: Poprawa bezpieczeństwa gospodarczego i strategicznej autonomii UE w zakresie zamówień publicznych</w:t>
      </w:r>
    </w:p>
    <w:p>
      <w:r>
        <w:t>Udział w</w:t>
      </w:r>
    </w:p>
    <w:p>
      <w:r>
        <w:t>uczestnictwo</w:t>
      </w:r>
    </w:p>
    <w:p>
      <w:r>
        <w:t>Jednolity rynek i</w:t>
      </w:r>
    </w:p>
    <w:p>
      <w:r>
        <w:t>kraj trzeci</w:t>
      </w:r>
    </w:p>
    <w:p>
      <w:r>
        <w:t>Czy UE</w:t>
      </w:r>
    </w:p>
    <w:p>
      <w:r>
        <w:t>Konkurencyjność</w:t>
      </w:r>
    </w:p>
    <w:p>
      <w:r>
        <w:t>operatorzy (bezpośredni +</w:t>
      </w:r>
    </w:p>
    <w:p>
      <w:r>
        <w:t>bezpieczeństwo gospodarcze</w:t>
      </w:r>
    </w:p>
    <w:p>
      <w:r>
        <w:t>Tabela wyników;</w:t>
      </w:r>
    </w:p>
    <w:p>
      <w:r>
        <w:t>pośrednie);</w:t>
      </w:r>
    </w:p>
    <w:p>
      <w:r>
        <w:t>oraz strategiczne europejskie</w:t>
      </w:r>
    </w:p>
    <w:p>
      <w:r>
        <w:t>autonomia w publicznym PPDS Komisji;</w:t>
      </w:r>
    </w:p>
    <w:p>
      <w:r>
        <w:t>Udział produktów pochodzących z UE</w:t>
      </w:r>
    </w:p>
    <w:p>
      <w:r>
        <w:t>przetargi</w:t>
      </w:r>
    </w:p>
    <w:p>
      <w:r>
        <w:t>zamówionych towarów</w:t>
      </w:r>
    </w:p>
    <w:p>
      <w:r>
        <w:t>Nowe narzędzia informatyczne i</w:t>
      </w:r>
    </w:p>
    <w:p>
      <w:r>
        <w:t>poprawiła się?</w:t>
      </w:r>
    </w:p>
    <w:p>
      <w:r>
        <w:t>w wybranych sektorach</w:t>
      </w:r>
    </w:p>
    <w:p>
      <w:r>
        <w:t>przewidziane systemy</w:t>
      </w:r>
    </w:p>
    <w:p>
      <w:r>
        <w:t>(rozumiane jak w UKC)</w:t>
      </w:r>
    </w:p>
    <w:p>
      <w:r>
        <w:t>Cel szczegółowy 4: Ułatwienie dostępu do informacji, danych i narzędzi informatycznych dotyczących zamówień publicznych</w:t>
      </w:r>
    </w:p>
    <w:p>
      <w:r>
        <w:t>Wskaźnik przejrzystości</w:t>
      </w:r>
    </w:p>
    <w:p>
      <w:r>
        <w:t>Jednolity rynek i</w:t>
      </w:r>
    </w:p>
    <w:p>
      <w:r>
        <w:t>(np. % PKB</w:t>
      </w:r>
    </w:p>
    <w:p>
      <w:r>
        <w:t>Konkurencyjność</w:t>
      </w:r>
    </w:p>
    <w:p>
      <w:r>
        <w:t>opublikowano w</w:t>
      </w:r>
    </w:p>
    <w:p>
      <w:r>
        <w:t>Ma dostęp do</w:t>
      </w:r>
    </w:p>
    <w:p>
      <w:r>
        <w:t>Tabela wyników;</w:t>
      </w:r>
    </w:p>
    <w:p>
      <w:r>
        <w:t>TED/MPL);</w:t>
      </w:r>
    </w:p>
    <w:p>
      <w:r>
        <w:t>informacje na temat</w:t>
      </w:r>
    </w:p>
    <w:p>
      <w:r>
        <w:t>PPDS Komisji ds. Zamówień Publicznych;</w:t>
      </w:r>
    </w:p>
    <w:p>
      <w:r>
        <w:t>Dostępności oraz</w:t>
      </w:r>
    </w:p>
    <w:p>
      <w:r>
        <w:t>poprawiła się?</w:t>
      </w:r>
    </w:p>
    <w:p>
      <w:r>
        <w:t>możliwość wyszukania</w:t>
      </w:r>
    </w:p>
    <w:p>
      <w:r>
        <w:t>Nowe narzędzia informatyczne i</w:t>
      </w:r>
    </w:p>
    <w:p>
      <w:r>
        <w:t>baz danych;</w:t>
      </w:r>
    </w:p>
    <w:p>
      <w:r>
        <w:t>przewidziane systemy</w:t>
      </w:r>
    </w:p>
    <w:p>
      <w:r>
        <w:t>Jakość danych (np.</w:t>
      </w:r>
    </w:p>
    <w:p>
      <w:r>
        <w:t>Monitorowanie i</w:t>
      </w:r>
    </w:p>
    <w:p>
      <w:r>
        <w:t>aspekt oceny Odpowiedzialność za</w:t>
      </w:r>
    </w:p>
    <w:p>
      <w:r>
        <w:t>Wskaźnik(-i) Źródło(-a)</w:t>
      </w:r>
    </w:p>
    <w:p>
      <w:r>
        <w:t>i odpowiednie gromadzenie danych</w:t>
      </w:r>
    </w:p>
    <w:p>
      <w:r>
        <w:t>cele</w:t>
      </w:r>
    </w:p>
    <w:p>
      <w:r>
        <w:t>kompletność</w:t>
      </w:r>
    </w:p>
    <w:p>
      <w:r>
        <w:t>dostarczone dane);</w:t>
      </w:r>
    </w:p>
    <w:p>
      <w:r>
        <w:t>Integracja danych</w:t>
      </w:r>
    </w:p>
    <w:p>
      <w:r>
        <w:t>z innymi</w:t>
      </w:r>
    </w:p>
    <w:p>
      <w:r>
        <w:t>bazy danych (np.</w:t>
      </w:r>
    </w:p>
    <w:p>
      <w:r>
        <w:t>rejestr spółek, rejestr podatkowy)</w:t>
      </w:r>
    </w:p>
    <w:p>
      <w:r>
        <w:t>Założenia ogólne</w:t>
      </w:r>
    </w:p>
    <w:p>
      <w:r>
        <w:t>Udział w</w:t>
      </w:r>
    </w:p>
    <w:p>
      <w:r>
        <w:t>procedury (wartość i liczba), które</w:t>
      </w:r>
    </w:p>
    <w:p>
      <w:r>
        <w:t>Do wiadomości publicznej</w:t>
      </w:r>
    </w:p>
    <w:p>
      <w:r>
        <w:t>obejmować</w:t>
      </w:r>
    </w:p>
    <w:p>
      <w:r>
        <w:t>nabywcy:</w:t>
      </w:r>
    </w:p>
    <w:p>
      <w:r>
        <w:t>środowiskowych,</w:t>
      </w:r>
    </w:p>
    <w:p>
      <w:r>
        <w:t>Jednolity rynek i</w:t>
      </w:r>
    </w:p>
    <w:p>
      <w:r>
        <w:t>Ułatwienie społeczeństwu korzystania z usług społecznych i</w:t>
      </w:r>
    </w:p>
    <w:p>
      <w:r>
        <w:t>Konkurencyjność</w:t>
      </w:r>
    </w:p>
    <w:p>
      <w:r>
        <w:t>innowacje w zamówieniach publicznych</w:t>
      </w:r>
    </w:p>
    <w:p>
      <w:r>
        <w:t>Tabela wyników;</w:t>
      </w:r>
    </w:p>
    <w:p>
      <w:r>
        <w:t>Europejski</w:t>
      </w:r>
    </w:p>
    <w:p>
      <w:r>
        <w:t>procesy i zamówienia;</w:t>
      </w:r>
    </w:p>
    <w:p>
      <w:r>
        <w:t>PPDS Komisji;</w:t>
      </w:r>
    </w:p>
    <w:p>
      <w:r>
        <w:t>wdrożenie</w:t>
      </w:r>
    </w:p>
    <w:p>
      <w:r>
        <w:t>Numer pierwszego</w:t>
      </w:r>
    </w:p>
    <w:p>
      <w:r>
        <w:t>strategiczne</w:t>
      </w:r>
    </w:p>
    <w:p>
      <w:r>
        <w:t>Nowe narzędzia informatyczne i</w:t>
      </w:r>
    </w:p>
    <w:p>
      <w:r>
        <w:t>instancja publiczna</w:t>
      </w:r>
    </w:p>
    <w:p>
      <w:r>
        <w:t>cele,</w:t>
      </w:r>
    </w:p>
    <w:p>
      <w:r>
        <w:t>przewidziane systemy</w:t>
      </w:r>
    </w:p>
    <w:p>
      <w:r>
        <w:t>przetargi</w:t>
      </w:r>
    </w:p>
    <w:p>
      <w:r>
        <w:t>poprawa pod względem prawnym</w:t>
      </w:r>
    </w:p>
    <w:p>
      <w:r>
        <w:t>odwołania od decyzji w</w:t>
      </w:r>
    </w:p>
    <w:p>
      <w:r>
        <w:t>pewność</w:t>
      </w:r>
    </w:p>
    <w:p>
      <w:r>
        <w:t>związek z liczbą zaproszeń do ubiegania się o zamówienie</w:t>
      </w:r>
    </w:p>
    <w:p>
      <w:r>
        <w:t>Liczba ofert na procedurę;</w:t>
      </w:r>
    </w:p>
    <w:p>
      <w:r>
        <w:t>Liczba</w:t>
      </w:r>
    </w:p>
    <w:p>
      <w:r>
        <w:t>Ds. gospodarczych</w:t>
      </w:r>
    </w:p>
    <w:p>
      <w:r>
        <w:t>Jednolity rynek i</w:t>
      </w:r>
    </w:p>
    <w:p>
      <w:r>
        <w:t>udzielone zamówienia</w:t>
      </w:r>
    </w:p>
    <w:p>
      <w:r>
        <w:t>operatorzy</w:t>
      </w:r>
    </w:p>
    <w:p>
      <w:r>
        <w:t>Konkurencyjność</w:t>
      </w:r>
    </w:p>
    <w:p>
      <w:r>
        <w:t>na rzecz gospodarki</w:t>
      </w:r>
    </w:p>
    <w:p>
      <w:r>
        <w:t>Ułatwienie dostępu do tabeli wyników;</w:t>
      </w:r>
    </w:p>
    <w:p>
      <w:r>
        <w:t>operator w europejskim</w:t>
      </w:r>
    </w:p>
    <w:p>
      <w:r>
        <w:t>zamówień publicznych</w:t>
      </w:r>
    </w:p>
    <w:p>
      <w:r>
        <w:t>różne państwa członkowskie; PPDS Komisji;</w:t>
      </w:r>
    </w:p>
    <w:p>
      <w:r>
        <w:t>(również transgraniczne)</w:t>
      </w:r>
    </w:p>
    <w:p>
      <w:r>
        <w:t>Liczba nowych narzędzi informatycznych oraz</w:t>
      </w:r>
    </w:p>
    <w:p>
      <w:r>
        <w:t>dla przedsiębiorstw z UE,</w:t>
      </w:r>
    </w:p>
    <w:p>
      <w:r>
        <w:t>przewidziane umowy, w tym systemy</w:t>
      </w:r>
    </w:p>
    <w:p>
      <w:r>
        <w:t>w tym MŚP</w:t>
      </w:r>
    </w:p>
    <w:p>
      <w:r>
        <w:t>podwykonawca</w:t>
      </w:r>
    </w:p>
    <w:p>
      <w:r>
        <w:t>z innego państwa członkowskiego;</w:t>
      </w:r>
    </w:p>
    <w:p>
      <w:r>
        <w:t>Monitorowanie i</w:t>
      </w:r>
    </w:p>
    <w:p>
      <w:r>
        <w:t>aspekt oceny Odpowiedzialność za</w:t>
      </w:r>
    </w:p>
    <w:p>
      <w:r>
        <w:t>Wskaźnik(-i) Źródło(-a)</w:t>
      </w:r>
    </w:p>
    <w:p>
      <w:r>
        <w:t>i odpowiednie gromadzenie danych</w:t>
      </w:r>
    </w:p>
    <w:p>
      <w:r>
        <w:t>cele</w:t>
      </w:r>
    </w:p>
    <w:p>
      <w:r>
        <w:t>Liczba</w:t>
      </w:r>
    </w:p>
    <w:p>
      <w:r>
        <w:t>zamówienia udzielane MŚP</w:t>
      </w:r>
    </w:p>
    <w:p>
      <w:r>
        <w:t>Koszt na procedurę (dla nabywców publicznych);</w:t>
      </w:r>
    </w:p>
    <w:p>
      <w:r>
        <w:t>Koszt na procedurę (dla wykonawców);</w:t>
      </w:r>
    </w:p>
    <w:p>
      <w:r>
        <w:t>Długość</w:t>
      </w:r>
    </w:p>
    <w:p>
      <w:r>
        <w:t>Poziome</w:t>
      </w:r>
    </w:p>
    <w:p>
      <w:r>
        <w:t>procedura od</w:t>
      </w:r>
    </w:p>
    <w:p>
      <w:r>
        <w:t>Ograniczenie planowania do czasu</w:t>
      </w:r>
    </w:p>
    <w:p>
      <w:r>
        <w:t>Jednolity rynek i</w:t>
      </w:r>
    </w:p>
    <w:p>
      <w:r>
        <w:t>udzielenie zamówienia administracyjnego</w:t>
      </w:r>
    </w:p>
    <w:p>
      <w:r>
        <w:t>Konkurencyjność</w:t>
      </w:r>
    </w:p>
    <w:p>
      <w:r>
        <w:t>obciążenie, zwiększenie kontraktu;</w:t>
      </w:r>
    </w:p>
    <w:p>
      <w:r>
        <w:t>Tabela wyników;</w:t>
      </w:r>
    </w:p>
    <w:p>
      <w:r>
        <w:t>Europejski</w:t>
      </w:r>
    </w:p>
    <w:p>
      <w:r>
        <w:t>przejrzystość,</w:t>
      </w:r>
    </w:p>
    <w:p>
      <w:r>
        <w:t>Liczba</w:t>
      </w:r>
    </w:p>
    <w:p>
      <w:r>
        <w:t>PPDS Komisji;</w:t>
      </w:r>
    </w:p>
    <w:p>
      <w:r>
        <w:t>ułatwienie</w:t>
      </w:r>
    </w:p>
    <w:p>
      <w:r>
        <w:t>wykonawcy</w:t>
      </w:r>
    </w:p>
    <w:p>
      <w:r>
        <w:t>monitorowanie</w:t>
      </w:r>
    </w:p>
    <w:p>
      <w:r>
        <w:t>Nowe narzędzia informatyczne i</w:t>
      </w:r>
    </w:p>
    <w:p>
      <w:r>
        <w:t>korzystanie z technologii cyfrowych</w:t>
      </w:r>
    </w:p>
    <w:p>
      <w:r>
        <w:t>unikanie nieprawidłowości</w:t>
      </w:r>
    </w:p>
    <w:p>
      <w:r>
        <w:t>przewidziane systemy</w:t>
      </w:r>
    </w:p>
    <w:p>
      <w:r>
        <w:t>narzędzia;</w:t>
      </w:r>
    </w:p>
    <w:p>
      <w:r>
        <w:t>i umożliwianie dokonywania wyborów politycznych Liczba opinii publicznej</w:t>
      </w:r>
    </w:p>
    <w:p>
      <w:r>
        <w:t>nabywcy korzystający z narzędzi cyfrowych;</w:t>
      </w:r>
    </w:p>
    <w:p>
      <w:r>
        <w:t>Wskaźnik anulowania; Odsetek procedur z wykorzystaniem negocjacji</w:t>
      </w:r>
    </w:p>
    <w:p>
      <w:r>
        <w:t>1.4. Wniosek/inicjatywa dotyczy:</w:t>
      </w:r>
    </w:p>
    <w:p>
      <w:r>
        <w:t>☑ nowego działania</w:t>
      </w:r>
    </w:p>
    <w:p>
      <w:r>
        <w:t>☐ nowego działania będącego następstwem projektu pilotażowego/działania przygotowawczego[1]</w:t>
      </w:r>
    </w:p>
    <w:p>
      <w:r>
        <w:t>☐ przedłużenia bieżącego działania</w:t>
      </w:r>
    </w:p>
    <w:p>
      <w:r>
        <w:t>☐ połączenie lub przekształcenie co najmniej jednego działania pod kątem innego/nowego działania</w:t>
      </w:r>
    </w:p>
    <w:p>
      <w:r>
        <w:t>1.5. Uzasadnienie wniosku/inicjatywy</w:t>
      </w:r>
    </w:p>
    <w:p>
      <w:r>
        <w:t>1.5.1. Potrzeby, które należy zaspokoić w perspektywie krótko- lub długoterminowej, w tym szczegółowy terminarz przebiegu realizacji inicjatywy</w:t>
      </w:r>
    </w:p>
    <w:p>
      <w:r>
        <w:t>Niniejsze rozporządzenie ma na celu uproszczenie całego rynku zamówień publicznych. Obejmuje to ekosystem cyfrowy zamówień publicznych. Zobowiązuje ona dostawców usług w zakresie e-zamówień do zapewnienia interoperacyjności ich usług zgodnie z przyszłymi normami. Ponadto nałoży on na państwa członkowskie obowiązek zintegrowania i połączenia ich cyfrowego narzędzia poświadczeń przedsiębiorstw z elektroniczną usługą kwalifikowalności i ich odpowiednimi rejestrami krajowymi. Dzięki temu wykonawcy będą mogły w pełni korzystać z cyfrowego narzędzia do wydawania poświadczeń biznesowych. Państwa członkowskie będą również zobowiązane do ustanowienia krajowych przestrzeni danych dotyczących zamówień publicznych i połączenia ich z wymianą danych PPDS.</w:t>
      </w:r>
    </w:p>
    <w:p>
      <w:r>
        <w:t>1.5.2. Wartość dodana z tytułu zaangażowania Unii Europejskiej (może wynikać z różnych czynników, na przykład korzyści koordynacyjnych, pewności prawa, większej efektywności lub komplementarności). Na potrzeby tej sekcji „wartość dodaną z tytułu zaangażowania Unii Europejskiej” należy rozumieć jako wartość wynikającą z unijnej interwencji, wykraczającą poza wartość, która zostałaby wytworzona przez same państwa członkowskie.</w:t>
      </w:r>
    </w:p>
    <w:p>
      <w:r>
        <w:t>Przyczyny działania na poziomie unijnym (ex ante)</w:t>
      </w:r>
    </w:p>
    <w:p>
      <w:r>
        <w:t>Chociaż w ciągu ostatnich 50 lat podjęto znaczne wysiłki, nie osiągnięto jeszcze jednolitego rynku zamówień publicznych. Utrzymuje się rozdrobnienie w postaci rozbieżnych podejść politycznych w poszczególnych inicjatywach, nadmiernie rygorystycznego wdrażania na szczeblu państw członkowskich oraz wykorzystania różnych narzędzi i platform cyfrowych. Kwestie te sprawiają, że obecne unijne ramy zamówień publicznych są obszarem postrzeganych obciążeń administracyjnych i biurokracji, a nie instrumentem zrównoważonego wzrostu gospodarczego. Aby wykorzystać zamówienia publiczne jako siłę napędową konkurencyjności oraz wydajnych i skutecznych inwestycji publicznych, a także wspierać cele polityki UE, potrzebne są działania UE. Uproszczenie unijnych ram zamówień publicznych i realizacja celów strategicznych są możliwe jedynie dzięki działaniom UE, które zapewniają spójne zmiany we wszystkich państwach członkowskich. Brak działań ze strony UE utrwaliłby nieefektywność systemu i uniemożliwiłby nabywcom publicznym szybsze i strategiczne zaspokajanie ich potrzeb, a wykonawcom – dostęp do zamówień publicznych na całym jednolitym rynku. Spójne ramy prawne dotyczące zamówień publicznych można osiągnąć jedynie na szczeblu UE. Ponadto w przypadku braku działań ze strony UE unijne przepisy dotyczące zamówień publicznych będą nadal osiągać gorsze wyniki w kluczowych aspektach strategicznych, takich jak postępy w zakresie zrównoważonego rozwoju, wspieranie odpornych łańcuchów dostaw lub zapewnienie strategicznej autonomii UE. Podobnie ograniczone byłyby wspólne inwestycje w sektorach strategicznych, a skoordynowane działania umożliwią lepsze wykorzystanie popytu. Ponadto brak działań ze strony UE stwarza również straconą szansę, ponieważ przepisy stają się nieaktualne w świetle obecnych zmian (np. przyspieszenia zmian cyfrowych i hiperłączności) i zmieniających się zagrożeń. (np. zmiana paradygmatów bezpieczeństwa).</w:t>
      </w:r>
    </w:p>
    <w:p>
      <w:r>
        <w:t>Przewidywana wytworzona wartość dodana UE (ex post):</w:t>
      </w:r>
    </w:p>
    <w:p>
      <w:r>
        <w:t>Wniosek ma na celu zmianę przepisów UE, bezpośrednio dotyczących ogólnounijnego rynku zamówień publicznych. Tego samego nie udało się osiągnąć na szczeblu państw członkowskich, w szczególności biorąc pod uwagę potrzebę zapewnienia zharmonizowanego podejścia we wszystkich państwach członkowskich, ponieważ takie podejście ma kluczowe znaczenie dla skutecznego uproszczenia. Działania na szczeblu UE mają dużą wartość dodaną, ponieważ problemy, których dotyczy niniejszy wniosek, nie ograniczają się do terytorium jednego państwa członkowskiego. Jedynie działanie UE może regulować dostęp oferentów i towarów z państw trzecich do unijnego rynku zamówień publicznych, ponieważ jest to wyłączna kompetencja UE. Podobnie w zakresie, w jakim zobowiązania UE wynikające z GPA pozostają niezmienione, państwa członkowskie nie mogą wprowadzać uproszczeń proceduralnych wykraczających poza poziom ustalony na szczeblu UE, ponieważ progi i procedury dotyczące zamówień publicznych są regulowane przepisami UE wdrażającymi zobowiązania proceduralne wynikające z GPA.</w:t>
      </w:r>
    </w:p>
    <w:p>
      <w:r>
        <w:t>1.5.3. Wnioski wyciągnięte z podobnych doświadczeń w przeszłości</w:t>
      </w:r>
    </w:p>
    <w:p>
      <w:r>
        <w:t>Poprzednie reformy pokazały, że narzędzia cyfrowe, takie jak e-zamówienia, mogą usprawnić procesy, ale muszą one zostać ujednolicone we wszystkich państwach członkowskich, aby uniknąć fragmentacji. Nowe przepisy powinny ustanawiać jasne podstawowe wymogi, a jednocześnie umożliwiać elastyczność w sposobie ich wdrażania.</w:t>
      </w:r>
    </w:p>
    <w:p>
      <w:r>
        <w:t>Doświadczenie pokazało, że uproszczone procedury i cyfrowe systemy kwalifikacji wstępnej pomagają małym i średnim przedsiębiorstwom skuteczniej uczestniczyć w zamówieniach publicznych. Zautomatyzowane gromadzenie danych okazało się cenne dla poprawy przejrzystości i umożliwienia lepszego monitorowania procesów udzielania zamówień.</w:t>
      </w:r>
    </w:p>
    <w:p>
      <w:r>
        <w:t>Ponadto wcześniejsze reformy pokazały, że pomyślne wdrożenie wymaga wczesnego zaangażowania wszystkich zainteresowanych stron i zapewnienia jasnych wytycznych w całym procesie.</w:t>
      </w:r>
    </w:p>
    <w:p>
      <w:r>
        <w:t>1.5.4. Spójność z wieloletnimi ramami finansowymi oraz możliwa synergia z innymi właściwymi instrumentami</w:t>
      </w:r>
    </w:p>
    <w:p>
      <w:r>
        <w:t>Przegląd dyrektyw w sprawie zamówień publicznych wspiera cele UE w zakresie uproszczenia i konkurencyjności poprzez umożliwienie wykonawcom korzystania z narzędzi cyfrowych i zharmonizowanych procesów, co umożliwia zaufane, bezpieczne i przyjazne dla użytkownika przestrzeganie wymogów administracyjnych. Obejmuje to usprawnioną identyfikację, uwierzytelnianie i wymianę danych, zapewniającą płynne interakcje między przedsiębiorstwami a organami publicznymi. W związku z tym jest on w pełni zgodny z celami WRF na lata 2028–2034.</w:t>
      </w:r>
    </w:p>
    <w:p>
      <w:r>
        <w:t>Włączenie Komisji i państw członkowskich we wdrażanie niniejszego rozporządzenia będzie miało skutki finansowe, które mogłyby zostać w głównej mierze pokryte z budżetu UE w ramach WRF na lata 2028–2034, w zależności od wyniku trwających negocjacji w sprawie wniosku Komisji dotyczącego kolejnych WRF. Koszty te są związane głównie z:</w:t>
      </w:r>
    </w:p>
    <w:p>
      <w:r>
        <w:t>1. Transformacja cyfrowa procesów udzielania zamówień, w tym rozwój i wdrażanie platform e-zamówień.</w:t>
      </w:r>
    </w:p>
    <w:p>
      <w:r>
        <w:t>2. Integracja istniejących systemów informatycznych z nowymi narzędziami cyfrowymi w celu zapewnienia interoperacyjności.</w:t>
      </w:r>
    </w:p>
    <w:p>
      <w:r>
        <w:t>3. Ustanowienie mechanizmów nadzoru i monitorowania w celu zapewnienia zgodności ze zmienionym rozporządzeniem.</w:t>
      </w:r>
    </w:p>
    <w:p>
      <w:r>
        <w:t>1.5.5. Ocena różnych dostępnych możliwości finansowania, w tym zakresu przegrupowania środków</w:t>
      </w:r>
    </w:p>
    <w:p>
      <w:r>
        <w:t>Potrzeby kadrowe w wysokości 17 dodatkowych EPC (8 AD dla DG GROW, 4 AD dla Urzędu Publikacji i 5 END dla DG GROW) zostaną częściowo zaspokojone poprzez przesunięcie istniejących środków przydzielonych tej dyrekcji generalnej. Niemniej jednak, pomimo znacznych wysiłków podjętych przez Komisję w ubiegłym roku w celu przesunięcia jej zasobów ludzkich, aby zapewnić pomyślną realizację i właściwe wdrożenie niniejszego wniosku, konieczne będzie dodatkowe zwiększenie personelu Komisji, aby zaspokoić pełne potrzeby.</w:t>
      </w:r>
    </w:p>
    <w:p>
      <w:pPr>
        <w:pStyle w:val="Heading3"/>
        <w:jc w:val="center"/>
      </w:pPr>
      <w:r>
        <w:t>Jeśli chodzi o finansowanie, potrzeby zostaną ściśle zaspokojone poprzez przegrupowanie środków.</w:t>
      </w:r>
    </w:p>
    <w:p>
      <w:r>
        <w:t>Szacunkowy wpływ na wydatki i personel na 2028 r. i kolejne lata dodano wyłącznie w celach ilustracyjnych i nie przesądza on o kolejnych wieloletnich ramach finansowych. Źródło finansowania i zakres zobowiązań finansowych Unii w okresie po 2027 r. nadal zależą od wyniku negocjacji międzyinstytucjonalnych w sprawie WRF na lata 2028–2034, a następnie określa się je w ramach rocznej procedury budżetowej. Wszystkie środki i przydziały personelu od 2028 r. mają charakter orientacyjny.</w:t>
      </w:r>
    </w:p>
    <w:p>
      <w:r>
        <w:t>1.6. Czas trwania i wpływ finansowy wniosku/inicjatywy</w:t>
      </w:r>
    </w:p>
    <w:p>
      <w:r>
        <w:t>☐ ograniczony czas trwania</w:t>
      </w:r>
    </w:p>
    <w:p>
      <w:r>
        <w:t>☐ okres trwania wniosku/inicjatywy: od [DD.MM]RRRR r. do [DD.MM]RRRR r.</w:t>
      </w:r>
    </w:p>
    <w:p>
      <w:r>
        <w:t>☐ okres trwania wpływu finansowego: od RRRR r. do RRRR r. w odniesieniu do środków na zobowiązania oraz od RRRR r. do RRRR r. w odniesieniu do środków na płatności.</w:t>
      </w:r>
    </w:p>
    <w:p>
      <w:r>
        <w:t>☑ nieograniczony czas trwania</w:t>
      </w:r>
    </w:p>
    <w:p>
      <w:r>
        <w:t>Wprowadzenie w życie z okresem rozruchu od 2028 r. do 2030 r.,</w:t>
      </w:r>
    </w:p>
    <w:p>
      <w:r>
        <w:t>po którym następuje faza operacyjna.</w:t>
      </w:r>
    </w:p>
    <w:p>
      <w:r>
        <w:t>1.7. Planowana(-e) metoda(-y) wykonania budżetu(2)[2]</w:t>
      </w:r>
    </w:p>
    <w:p>
      <w:r>
        <w:t>☑ bezpośrednie zarządzanie przez Komisję</w:t>
      </w:r>
    </w:p>
    <w:p>
      <w:r>
        <w:t>☑ w ramach jej służb, w tym za pośrednictwem jej pracowników w delegaturach Unii;</w:t>
      </w:r>
    </w:p>
    <w:p>
      <w:r>
        <w:t>☐ przez agencje wykonawcze</w:t>
      </w:r>
    </w:p>
    <w:p>
      <w:r>
        <w:t>☐ zarządzanie dzielone z państwami członkowskimi</w:t>
      </w:r>
    </w:p>
    <w:p>
      <w:pPr>
        <w:pStyle w:val="Heading3"/>
        <w:jc w:val="center"/>
      </w:pPr>
      <w:r>
        <w:t>☐ zarządzanie pośrednie poprzez przekazanie zadań związanych z wykonaniem budżetu:</w:t>
      </w:r>
    </w:p>
    <w:p>
      <w:r>
        <w:t>☐ państwa trzecie lub wyznaczone przez nie organy;</w:t>
      </w:r>
    </w:p>
    <w:p>
      <w:r>
        <w:t>☐ organizacjom międzynarodowym i ich agencjom (należy wyszczególnić);</w:t>
      </w:r>
    </w:p>
    <w:p>
      <w:r>
        <w:t>☐ Europejskiemu Bankowi Inwestycyjnemu i Europejskiemu Funduszowi Inwestycyjnemu;</w:t>
      </w:r>
    </w:p>
    <w:p>
      <w:r>
        <w:t>☐ organom, o których mowa w art. 70 i 71 rozporządzenia finansowego;</w:t>
      </w:r>
    </w:p>
    <w:p>
      <w:r>
        <w:t>☐ podmiotom prawa publicznego;</w:t>
      </w:r>
    </w:p>
    <w:p>
      <w:r>
        <w:t>☐ podmiotom podlegającym prawu prywatnemu, które świadczą usługi użyteczności publicznej, w zakresie, w jakim zapewniono im odpowiednie gwarancje finansowe;</w:t>
      </w:r>
    </w:p>
    <w:p>
      <w:r>
        <w:t>☐ podmiotom podlegającym prawu prywatnemu państwa członkowskiego, którym powierzono realizację partnerstwa publiczno-prywatnego i zapewniono odpowiednie gwarancje finansowe;</w:t>
      </w:r>
    </w:p>
    <w:p>
      <w:r>
        <w:t>☐ organom lub osobom odpowiedzialnym za wykonanie określonych działań w ramach wspólnej polityki zagranicznej i bezpieczeństwa na mocy tytułu V Traktatu o Unii Europejskiej oraz określonym we właściwym akcie podstawowym</w:t>
      </w:r>
    </w:p>
    <w:p>
      <w:r>
        <w:t>☐ podmiotom mającym siedzibę w państwie członkowskim, podlegającym prawu prywatnemu państwa członkowskiego lub prawu Unii i kwalifikującym się, zgodnie z przepisami sektorowymi, do powierzenia im wykonywania środków finansowych Unii lub gwarancji budżetowych, w zakresie, w jakim podmioty te są kontrolowane przez podmioty prawa publicznego lub podmioty podlegające prawu prywatnemu realizujące misję publiczną, a także posiadają odpowiednie gwarancje finansowe w formie odpowiedzialności solidarnej organów kontrolnych lub równoważne gwarancje finansowe, które mogą być ograniczone, w odniesieniu do każdego działania, do maksymalnej kwoty wsparcia Unii.</w:t>
      </w:r>
    </w:p>
    <w:p>
      <w:r>
        <w:t>Komentarze</w:t>
      </w:r>
    </w:p>
    <w:p>
      <w:r>
        <w:t>2. ŚRODKI ZARZĄDZANIA</w:t>
      </w:r>
    </w:p>
    <w:p>
      <w:r>
        <w:t>2.1. Zasady nadzoru i sprawozdawczości</w:t>
      </w:r>
    </w:p>
    <w:p>
      <w:r>
        <w:t>Co siedem lat od wejścia w życie niniejszego rozporządzenia Komisja przeprowadza ocenę niniejszego rozporządzenia.</w:t>
      </w:r>
    </w:p>
    <w:p>
      <w:r>
        <w:t>Komisja przedstawia sprawozdanie z głównych ustaleń oceny przeprowadzonej zgodnie z ust. 1 Parlamentowi Europejskiemu, Radzie, Europejskiemu Komitetowi Ekonomiczno-Społecznemu i Komitetowi Regionów. Państwa członkowskie przekazują Komisji informacje niezbędne do przygotowania sprawozdania.</w:t>
      </w:r>
    </w:p>
    <w:p>
      <w:r>
        <w:t>2.2. System(y) zarządzania i kontroli</w:t>
      </w:r>
    </w:p>
    <w:p>
      <w:r>
        <w:t>2.2.1. Uzasadnienie dla proponowanych metod wykonania budżetu, mechanizmu(-ów) finansowania wykonania, sposobów dokonywania płatności i strategii kontroli</w:t>
      </w:r>
    </w:p>
    <w:p>
      <w:r>
        <w:t>W zmienionym rozporządzeniu w sprawie zamówień publicznych wprowadzono zharmonizowane narzędzia i procesy cyfrowe w celu usprawnienia wymogów administracyjnych, zapewniając godną zaufania, bezpieczną i przyjazną dla użytkownika zgodność. Te nowe przepisy wymagają opracowania specyfikacji technicznych, norm i ram interoperacyjności, a także nadzoru i koordynacji między instytucjami UE i państwami członkowskimi.</w:t>
      </w:r>
    </w:p>
    <w:p>
      <w:r>
        <w:t>Aby skutecznie wdrożyć te środki, służby Komisji muszą dysponować odpowiednimi zasobami, w tym:</w:t>
      </w:r>
    </w:p>
    <w:p>
      <w:r>
        <w:t>1. Wsparcie techniczne i operacyjne na rzecz infrastruktury cyfrowej (np. platformy e-zamówień, integracja z cyfrowym narzędziem do wydawania poświadczeń biznesowych).</w:t>
      </w:r>
    </w:p>
    <w:p>
      <w:r>
        <w:t>2. Koordynacja z państwami członkowskimi w celu zapewnienia spójnego stosowania nowych przepisów.</w:t>
      </w:r>
    </w:p>
    <w:p>
      <w:r>
        <w:t>Szacuje się, że wdrożenie przepisów nowego rozporządzenia będzie wymagało 17 ekwiwalentów pełnego czasu pracy (EPC) w Komisji, co zapewni wystarczające zdolności w zakresie nadzoru, monitorowania i wdrażania polityki.</w:t>
      </w:r>
    </w:p>
    <w:p>
      <w:r>
        <w:t>2.2.2. Informacje dotyczące zidentyfikowanego ryzyka i systemów kontroli wewnętrznej ustanowionych w celu jego ograniczenia</w:t>
      </w:r>
    </w:p>
    <w:p>
      <w:r>
        <w:t>Ryzyko opóźnień we wdrażaniu ze strony Komisji lub państw członkowskich, prowadzących do niezgodności lub fragmentarycznego stosowania. Regularna współpraca z państwami członkowskimi i przedsiębiorstwami w celu wczesnego identyfikowania zagrożeń i dostosowania systemów kontroli do potrzeb zainteresowanych stron.</w:t>
      </w:r>
    </w:p>
    <w:p>
      <w:r>
        <w:t>2.2.3. Oszacowanie i uzasadnienie efektywności kosztowej kontroli (relacja kosztów kontroli do wartości zarządzanych funduszy powiązanych) oraz ocena prawdopodobnego ryzyka błędu (przy płatności i przy zamykaniu)</w:t>
      </w:r>
    </w:p>
    <w:p>
      <w:r>
        <w:t>Istniejące systemy kontroli wewnętrznej są skuteczne.</w:t>
      </w:r>
    </w:p>
    <w:p>
      <w:r>
        <w:t>2.3. Środki zapobiegania nadużyciom finansowym i nieprawidłowościom</w:t>
      </w:r>
    </w:p>
    <w:p>
      <w:r>
        <w:t>Dodatkowe potrzeby w zakresie środków niezbędnych do celów niniejszego rozporządzenia zostaną zaspokojone w ramach istniejących środków zapobiegania nadużyciom finansowym mających zastosowanie do Komisji.</w:t>
      </w:r>
    </w:p>
    <w:p>
      <w:r>
        <w:t>3. ESTIMATEDFINANCIALIMPACTOFTHEPROPOSAL/INICJATYWA</w:t>
      </w:r>
    </w:p>
    <w:p>
      <w:r>
        <w:t>3.1. Działy wieloletnich ram finansowych i linie budżetowe po stronie wydatków, na które wniosek ma wpływ</w:t>
      </w:r>
    </w:p>
    <w:p>
      <w:r>
        <w:t>Istniejące linie budżetowe</w:t>
      </w:r>
    </w:p>
    <w:p>
      <w:r>
        <w:t>Według działów wieloletnich ram finansowych i linii budżetowych.</w:t>
      </w:r>
    </w:p>
    <w:p>
      <w:r>
        <w:t>Typ</w:t>
      </w:r>
    </w:p>
    <w:p>
      <w:pPr>
        <w:pStyle w:val="Heading3"/>
        <w:jc w:val="center"/>
      </w:pPr>
      <w:r>
        <w:t>Budżet</w:t>
      </w:r>
    </w:p>
    <w:p>
      <w:r>
        <w:t>składka na wydatki</w:t>
      </w:r>
    </w:p>
    <w:p>
      <w:r>
        <w:t>linia</w:t>
      </w:r>
    </w:p>
    <w:p>
      <w:r>
        <w:t>e</w:t>
      </w:r>
    </w:p>
    <w:p>
      <w:r>
        <w:t>Kierunek</w:t>
      </w:r>
    </w:p>
    <w:p>
      <w:r>
        <w:t>z dnia</w:t>
      </w:r>
    </w:p>
    <w:p>
      <w:r>
        <w:t>od</w:t>
      </w:r>
    </w:p>
    <w:p>
      <w:r>
        <w:t>multiannu</w:t>
      </w:r>
    </w:p>
    <w:p>
      <w:r>
        <w:t>kandydat</w:t>
      </w:r>
    </w:p>
    <w:p>
      <w:r>
        <w:t>Al z</w:t>
      </w:r>
    </w:p>
    <w:p>
      <w:r>
        <w:t>państwa z innych</w:t>
      </w:r>
    </w:p>
    <w:p>
      <w:r>
        <w:t>dywersyfikacja finansowa/nie- EFTA</w:t>
      </w:r>
    </w:p>
    <w:p>
      <w:r>
        <w:t>Liczba i trzecia przydzielona liczba</w:t>
      </w:r>
    </w:p>
    <w:p>
      <w:r>
        <w:t>ramy zróżnicowane (3)[1] państwa</w:t>
      </w:r>
    </w:p>
    <w:p>
      <w:r>
        <w:t>dochody potencjalnych krajów</w:t>
      </w:r>
    </w:p>
    <w:p>
      <w:r>
        <w:t>(4)[2]</w:t>
      </w:r>
    </w:p>
    <w:p>
      <w:r>
        <w:t>kandydaci</w:t>
      </w:r>
    </w:p>
    <w:p>
      <w:r>
        <w:t>(5)[3]</w:t>
      </w:r>
    </w:p>
    <w:p>
      <w:r>
        <w:t>04.02.03 —</w:t>
      </w:r>
    </w:p>
    <w:p>
      <w:r>
        <w:t>2 Dyscyplina cyfrowa TAK(6)[4] TAK(7)[5] NIE</w:t>
      </w:r>
    </w:p>
    <w:p>
      <w:pPr>
        <w:pStyle w:val="Heading3"/>
        <w:jc w:val="center"/>
      </w:pPr>
      <w:r>
        <w:t>Przywództwo</w:t>
      </w:r>
    </w:p>
    <w:p>
      <w:pPr>
        <w:pStyle w:val="Heading3"/>
        <w:jc w:val="center"/>
      </w:pPr>
      <w:r>
        <w:t>XX.XX.X</w:t>
      </w:r>
    </w:p>
    <w:p>
      <w:r>
        <w:t>2 Zróżnicowane TAK NIE</w:t>
      </w:r>
    </w:p>
    <w:p>
      <w:pPr>
        <w:pStyle w:val="Heading3"/>
        <w:jc w:val="center"/>
      </w:pPr>
      <w:r>
        <w:t>X.XX(8)[^6]</w:t>
      </w:r>
    </w:p>
    <w:p>
      <w:pPr>
        <w:pStyle w:val="Heading1"/>
      </w:pPr>
      <w:r>
        <w:t>PL PL</w:t>
      </w:r>
    </w:p>
    <w:p>
      <w:r>
        <w:t>159</w:t>
      </w:r>
    </w:p>
    <w:p>
      <w:r>
        <w:t>Nowe wnioskowane linie budżetowe</w:t>
      </w:r>
    </w:p>
    <w:p>
      <w:r>
        <w:t>Według działów wieloletnich ram finansowych i linii budżetowych.</w:t>
      </w:r>
    </w:p>
    <w:p>
      <w:r>
        <w:t>3.2. Szacunkowy wpływ finansowy wniosku na środki</w:t>
      </w:r>
    </w:p>
    <w:p>
      <w:r>
        <w:t>3.2.1. Podsumowanie szacunkowego wpływu na środki operacyjne</w:t>
      </w:r>
    </w:p>
    <w:p>
      <w:r>
        <w:t>☐ wniosek/inicjatywa nie wiąże się z koniecznością wykorzystania środków operacyjnych</w:t>
      </w:r>
    </w:p>
    <w:p>
      <w:r>
        <w:t>☑ wniosek/inicjatywa wiąże się z koniecznością wykorzystania środków operacyjnych, jak określono poniżej:</w:t>
      </w:r>
    </w:p>
    <w:p>
      <w:r>
        <w:t>3.2.2. Środki z przyjętego budżetu</w:t>
      </w:r>
    </w:p>
    <w:p>
      <w:r>
        <w:t>W mln EUR (do trzech miejsc po przecinku)</w:t>
      </w:r>
    </w:p>
    <w:p>
      <w:r>
        <w:t>Szacunkowy wpływ na wydatki i personel na 2028 r. i kolejne lata dodano wyłącznie w celach ilustracyjnych i nie przesądza on o kolejnym</w:t>
      </w:r>
    </w:p>
    <w:p>
      <w:r>
        <w:t>Wieloletnie ramy finansowe Źródło finansowania i zakres zobowiązań finansowych Unii w okresie po 2027 r. nadal podlegają</w:t>
      </w:r>
    </w:p>
    <w:p>
      <w:r>
        <w:t>wynik negocjacji międzyinstytucjonalnych w sprawie WRF na lata 2028–2034 i kolejne lata określa się w ramach rocznego budżetu.</w:t>
      </w:r>
    </w:p>
    <w:p>
      <w:r>
        <w:t>ustawodawczej. Wszystkie środki i przydziały personelu od 2028 r. mają charakter orientacyjny.</w:t>
      </w:r>
    </w:p>
    <w:p>
      <w:r>
        <w:t>Inicjatywa ta zostanie sfinansowana poprzez przegrupowanie środków w ramach programów operacyjnych kolejnych WRF, a częściowo poprzez środki administracyjne</w:t>
      </w:r>
    </w:p>
    <w:p>
      <w:r>
        <w:t>wydatków. Linie operacyjne dotyczące finansowania przesunięć będą pochodzić z linii operacyjnych, a linie administracyjne dotyczące finansowania przesunięć będą pochodzić z linii administracyjnych. Na tym etapie nie jest możliwe dokładne wskazanie wkładu z każdego działu i programu WRF,</w:t>
      </w:r>
    </w:p>
    <w:p>
      <w:r>
        <w:t>chociaż oczekuje się, że znaczący wkład będzie pochodził z programów w ramach działu 2 WRF na lata 2028–2034 (np.</w:t>
      </w:r>
    </w:p>
    <w:p>
      <w:r>
        <w:t>Fundusz Konkurencyjności).</w:t>
      </w:r>
    </w:p>
    <w:p>
      <w:r>
        <w:t>Różnica w kosztach przedstawiona w ocenie skutków finansowych regulacji i w ocenie skutków wynika z faktu, że</w:t>
      </w:r>
    </w:p>
    <w:p>
      <w:r>
        <w:t>zestawienie obejmuje wszystkie koszty, natomiast w ocenie skutków uwzględniono jedynie dodatkowe koszty wprowadzone przez środki z zakresu polityki oprócz</w:t>
      </w:r>
    </w:p>
    <w:p>
      <w:r>
        <w:t>tak zwane zwykłe koszty prowadzenia działalności. Istnieją również niewielkie różnice w klasyfikacji i prezentacji kosztów wynikające z wymogów</w:t>
      </w:r>
    </w:p>
    <w:p>
      <w:r>
        <w:t>rozporządzenie finansowe.</w:t>
      </w:r>
    </w:p>
    <w:p>
      <w:pPr>
        <w:pStyle w:val="Heading1"/>
      </w:pPr>
      <w:r>
        <w:t>PL PL</w:t>
      </w:r>
    </w:p>
    <w:p>
      <w:r>
        <w:t>160</w:t>
      </w:r>
    </w:p>
    <w:p>
      <w:r>
        <w:t>Dział wieloletnich ram finansowych nr 2</w:t>
      </w:r>
    </w:p>
    <w:p>
      <w:r>
        <w:t>Rok 2015</w:t>
      </w:r>
    </w:p>
    <w:p>
      <w:r>
        <w:t>Rok Rok Rok Rok OGÓŁEM WRF</w:t>
      </w:r>
    </w:p>
    <w:p>
      <w:r>
        <w:t>DG: WZROST(9)[7]</w:t>
      </w:r>
    </w:p>
    <w:p>
      <w:r>
        <w:t>2028 2029 2030 2031 2028-2034</w:t>
      </w:r>
    </w:p>
    <w:p>
      <w:r>
        <w:t>2032 2033 2034</w:t>
      </w:r>
    </w:p>
    <w:p>
      <w:r>
        <w:t>Środki operacyjne</w:t>
      </w:r>
    </w:p>
    <w:p>
      <w:r>
        <w:t>10.10 10.30 10.51 10.72 10.93 11.15</w:t>
      </w:r>
    </w:p>
    <w:p>
      <w:r>
        <w:t>Środki na zobowiązania (1a) 9.908 73.659</w:t>
      </w:r>
    </w:p>
    <w:p>
      <w:r>
        <w:t>6 8 4 5 9 8</w:t>
      </w:r>
    </w:p>
    <w:p>
      <w:r>
        <w:t>04.02.03 – Technologie cyfrowe</w:t>
      </w:r>
    </w:p>
    <w:p>
      <w:r>
        <w:t>Przywództwo</w:t>
      </w:r>
    </w:p>
    <w:p>
      <w:r>
        <w:t>12.95 12.95 14.97 14.97</w:t>
      </w:r>
    </w:p>
    <w:p>
      <w:r>
        <w:t>Płatności (2a) 2.428 6.476 8.904 73.659</w:t>
      </w:r>
    </w:p>
    <w:p>
      <w:r>
        <w:t>1 1 5 5</w:t>
      </w:r>
    </w:p>
    <w:p>
      <w:r>
        <w:t>Środki administracyjne finansowane ze środków przydzielonych na określone programy (10)[8]</w:t>
      </w:r>
    </w:p>
    <w:p>
      <w:r>
        <w:t>Linia budżetowa (3) 000</w:t>
      </w:r>
    </w:p>
    <w:p>
      <w:r>
        <w:t>=1a+10.10 10.30 10.51 10.72 10.93 11.15</w:t>
      </w:r>
    </w:p>
    <w:p>
      <w:r>
        <w:t>Zobowiązania 9.908 73.659</w:t>
      </w:r>
    </w:p>
    <w:p>
      <w:r>
        <w:t>1b+3 6 8 4 5 9 8</w:t>
      </w:r>
    </w:p>
    <w:p>
      <w:r>
        <w:t>Ogółem środki</w:t>
      </w:r>
    </w:p>
    <w:p>
      <w:r>
        <w:t>dla DG GROW</w:t>
      </w:r>
    </w:p>
    <w:p>
      <w:r>
        <w:t>=2a+12.95 12.95 14.97 14.97</w:t>
      </w:r>
    </w:p>
    <w:p>
      <w:r>
        <w:t>Płatności 2.428 6.476 8.904 73.659</w:t>
      </w:r>
    </w:p>
    <w:p>
      <w:r>
        <w:t>2b+3 1 1 5 5</w:t>
      </w:r>
    </w:p>
    <w:p>
      <w:r>
        <w:t>Rok 2015</w:t>
      </w:r>
    </w:p>
    <w:p>
      <w:r>
        <w:t>Rok Rok Rok Rok OGÓŁEM WRF</w:t>
      </w:r>
    </w:p>
    <w:p>
      <w:r>
        <w:t>DG: Urząd Publikacji.</w:t>
      </w:r>
    </w:p>
    <w:p>
      <w:r>
        <w:t>2028 2029 2030 2031 2028-2034</w:t>
      </w:r>
    </w:p>
    <w:p>
      <w:r>
        <w:t>2032 2033 2034</w:t>
      </w:r>
    </w:p>
    <w:p>
      <w:pPr>
        <w:pStyle w:val="Heading1"/>
      </w:pPr>
      <w:r>
        <w:t>PL PL</w:t>
      </w:r>
    </w:p>
    <w:p>
      <w:r>
        <w:t>161</w:t>
      </w:r>
    </w:p>
    <w:p>
      <w:r>
        <w:t>Środki operacyjne</w:t>
      </w:r>
    </w:p>
    <w:p>
      <w:r>
        <w:t>10.16 10.37</w:t>
      </w:r>
    </w:p>
    <w:p>
      <w:r>
        <w:t>Środki na zobowiązania (1b) 9.208 9.392 9.580 9.772 9.967 68.456</w:t>
      </w:r>
    </w:p>
    <w:p>
      <w:r>
        <w:t>7 0</w:t>
      </w:r>
    </w:p>
    <w:p>
      <w:r>
        <w:t>XX.XX.XX.XX(11)[9]</w:t>
      </w:r>
    </w:p>
    <w:p>
      <w:r>
        <w:t>12.03 12.03 13.91 13.91</w:t>
      </w:r>
    </w:p>
    <w:p>
      <w:r>
        <w:t>Środki na płatności (2b) 2.257 6.018 8.275 68.456</w:t>
      </w:r>
    </w:p>
    <w:p>
      <w:r>
        <w:t>6 6 7 7</w:t>
      </w:r>
    </w:p>
    <w:p>
      <w:r>
        <w:t>Środki administracyjne finansowane ze środków przydzielonych na określone programy (12)[10]</w:t>
      </w:r>
    </w:p>
    <w:p>
      <w:r>
        <w:t>Linia budżetowa (3) 000</w:t>
      </w:r>
    </w:p>
    <w:p>
      <w:r>
        <w:t>=1a+10.16 10.37</w:t>
      </w:r>
    </w:p>
    <w:p>
      <w:r>
        <w:t>Zobowiązania 9.208 9.392 9.580 9.772 9.967 68.456</w:t>
      </w:r>
    </w:p>
    <w:p>
      <w:r>
        <w:t>BK+3 7 0</w:t>
      </w:r>
    </w:p>
    <w:p>
      <w:r>
        <w:t>Ogółem środki dla Urzędu Publikacji</w:t>
      </w:r>
    </w:p>
    <w:p>
      <w:r>
        <w:t>=2a+12.03 12.03 13.91 13.91</w:t>
      </w:r>
    </w:p>
    <w:p>
      <w:r>
        <w:t>Płatności 2.257 6.018 8.275 68.456</w:t>
      </w:r>
    </w:p>
    <w:p>
      <w:r>
        <w:t>2b+3 6 6 7 7</w:t>
      </w:r>
    </w:p>
    <w:p>
      <w:r>
        <w:t>Rok 2015</w:t>
      </w:r>
    </w:p>
    <w:p>
      <w:r>
        <w:t>Rok Rok Rok Rok OGÓŁEM WRF</w:t>
      </w:r>
    </w:p>
    <w:p>
      <w:r>
        <w:t>2028 2029 2030 2031 2028-2034</w:t>
      </w:r>
    </w:p>
    <w:p>
      <w:r>
        <w:t>2032 2033 2034</w:t>
      </w:r>
    </w:p>
    <w:p>
      <w:r>
        <w:t>19.11 19.49 19.88 20.28 20.69 21.10 21.52</w:t>
      </w:r>
    </w:p>
    <w:p>
      <w:r>
        <w:t>Zobowiązania (4) 142.115</w:t>
      </w:r>
    </w:p>
    <w:p>
      <w:r>
        <w:t>Ogółem operacyjne 6 9 8 6 2 6 8</w:t>
      </w:r>
    </w:p>
    <w:p>
      <w:r>
        <w:t>środki</w:t>
      </w:r>
    </w:p>
    <w:p>
      <w:r>
        <w:t>Płatności (5) 4685 142.115</w:t>
      </w:r>
    </w:p>
    <w:p>
      <w:r>
        <w:t>12.49 17.17 24.98 24.98 28.89 28.89</w:t>
      </w:r>
    </w:p>
    <w:p>
      <w:pPr>
        <w:pStyle w:val="Heading1"/>
      </w:pPr>
      <w:r>
        <w:t>PL PL</w:t>
      </w:r>
    </w:p>
    <w:p>
      <w:r>
        <w:t>162</w:t>
      </w:r>
    </w:p>
    <w:p>
      <w:r>
        <w:t>4 9 7 7 2 2</w:t>
      </w:r>
    </w:p>
    <w:p>
      <w:r>
        <w:t>Ogółem środki</w:t>
      </w:r>
    </w:p>
    <w:p>
      <w:r>
        <w:t>charakter administracyjny finansowany z (6) 000 000 000 000 000 000 000 000</w:t>
      </w:r>
    </w:p>
    <w:p>
      <w:r>
        <w:t>pula środków na programy szczegółowe</w:t>
      </w:r>
    </w:p>
    <w:p>
      <w:r>
        <w:t>19.11 19.49 19.88 20.28 20.69 21.10 21.52</w:t>
      </w:r>
    </w:p>
    <w:p>
      <w:r>
        <w:t>Ogółem środki na zobowiązania = 4 + 6142.115</w:t>
      </w:r>
    </w:p>
    <w:p>
      <w:r>
        <w:t>6 9 8 6 2 6 8</w:t>
      </w:r>
    </w:p>
    <w:p>
      <w:r>
        <w:t>na DZIAŁ 2</w:t>
      </w:r>
    </w:p>
    <w:p>
      <w:r>
        <w:t>wieloletnich</w:t>
      </w:r>
    </w:p>
    <w:p>
      <w:r>
        <w:t>12.49 17.17 24.98 24.98 28.89 28.89</w:t>
      </w:r>
    </w:p>
    <w:p>
      <w:r>
        <w:t>ramy finansowe Płatności = 5 + 6 4.685 142.115</w:t>
      </w:r>
    </w:p>
    <w:p>
      <w:r>
        <w:t>4 9 7 7 2 2</w:t>
      </w:r>
    </w:p>
    <w:p>
      <w:r>
        <w:t>TOTA</w:t>
      </w:r>
    </w:p>
    <w:p>
      <w:r>
        <w:t>Rok 2015</w:t>
      </w:r>
    </w:p>
    <w:p>
      <w:r>
        <w:t>Rok Rok Rok Rok L WRF</w:t>
      </w:r>
    </w:p>
    <w:p>
      <w:r>
        <w:t>2028 2029 2030 2031 2028—</w:t>
      </w:r>
    </w:p>
    <w:p>
      <w:r>
        <w:t>2032 2033 2034</w:t>
      </w:r>
    </w:p>
    <w:p>
      <w:r>
        <w:t>2034</w:t>
      </w:r>
    </w:p>
    <w:p>
      <w:r>
        <w:t>19.11 19.49 19.88 20.28 20.69 21.10 21.52 142.11</w:t>
      </w:r>
    </w:p>
    <w:p>
      <w:r>
        <w:t>Zobowiązania (4)</w:t>
      </w:r>
    </w:p>
    <w:p>
      <w:r>
        <w:t>Ogółem operacyjne 6 9 8 6 2 6 8 5</w:t>
      </w:r>
    </w:p>
    <w:p>
      <w:r>
        <w:t>środki (wszystkie</w:t>
      </w:r>
    </w:p>
    <w:p>
      <w:r>
        <w:t>pozycje operacyjne) 12.49 17.17 24.98 24.98 28.89 28.89 142.11</w:t>
      </w:r>
    </w:p>
    <w:p>
      <w:pPr>
        <w:pStyle w:val="Heading3"/>
        <w:jc w:val="center"/>
      </w:pPr>
      <w:r>
        <w:t>Środki na płatności (5) 4685</w:t>
      </w:r>
    </w:p>
    <w:p>
      <w:r>
        <w:t>4 9 7 7 2 2 5</w:t>
      </w:r>
    </w:p>
    <w:p>
      <w:r>
        <w:t>Ogółem środki</w:t>
      </w:r>
    </w:p>
    <w:p>
      <w:r>
        <w:t>charakter administracyjny finansowany ze środków</w:t>
      </w:r>
    </w:p>
    <w:p>
      <w:r>
        <w:t>(6) 0.000 0.000 0.000 0.000 0.000 0.000 0.000 0.000</w:t>
      </w:r>
    </w:p>
    <w:p>
      <w:r>
        <w:t>pula środków na programy szczegółowe (wszystkie działy operacyjne)</w:t>
      </w:r>
    </w:p>
    <w:p>
      <w:r>
        <w:t>19.11 19.49 19.88 20.28 20.69 21.10 21.52 142.11</w:t>
      </w:r>
    </w:p>
    <w:p>
      <w:r>
        <w:t>Ogółem środki</w:t>
      </w:r>
    </w:p>
    <w:p>
      <w:r>
        <w:t>Zobowiązania = 4 + 6</w:t>
      </w:r>
    </w:p>
    <w:p>
      <w:r>
        <w:t>6 9 8 6 2 6 8 5</w:t>
      </w:r>
    </w:p>
    <w:p>
      <w:r>
        <w:t>Działy od 1 do 3</w:t>
      </w:r>
    </w:p>
    <w:p>
      <w:pPr>
        <w:pStyle w:val="Heading1"/>
      </w:pPr>
      <w:r>
        <w:t>PL PL</w:t>
      </w:r>
    </w:p>
    <w:p>
      <w:r>
        <w:t>163</w:t>
      </w:r>
    </w:p>
    <w:p>
      <w:r>
        <w:t>wieloletnich</w:t>
      </w:r>
    </w:p>
    <w:p>
      <w:r>
        <w:t>12.49 17.17 24.98 24.98 28.89 28.89 142.11</w:t>
      </w:r>
    </w:p>
    <w:p>
      <w:r>
        <w:t>ram finansowych</w:t>
      </w:r>
    </w:p>
    <w:p>
      <w:pPr>
        <w:pStyle w:val="Heading3"/>
        <w:jc w:val="center"/>
      </w:pPr>
      <w:r>
        <w:t>Środki na płatności = 5 + 6 4685</w:t>
      </w:r>
    </w:p>
    <w:p>
      <w:r>
        <w:t>4 9 7 7 2 2 5</w:t>
      </w:r>
    </w:p>
    <w:p>
      <w:r>
        <w:t>(Kwota odniesienia)</w:t>
      </w:r>
    </w:p>
    <w:p>
      <w:r>
        <w:t>Dział 4 wieloletnich ram finansowych „Wydatki administracyjne” (13)[11]</w:t>
      </w:r>
    </w:p>
    <w:p>
      <w:r>
        <w:t>TOTA</w:t>
      </w:r>
    </w:p>
    <w:p>
      <w:r>
        <w:t>Rok 2015</w:t>
      </w:r>
    </w:p>
    <w:p>
      <w:r>
        <w:t>Rok Rok Rok Rok L WRF</w:t>
      </w:r>
    </w:p>
    <w:p>
      <w:r>
        <w:t>DG: WZROST(14)[12]</w:t>
      </w:r>
    </w:p>
    <w:p>
      <w:r>
        <w:t>2028 2029 2030 2031 2028—</w:t>
      </w:r>
    </w:p>
    <w:p>
      <w:r>
        <w:t>2032 2033 2034</w:t>
      </w:r>
    </w:p>
    <w:p>
      <w:r>
        <w:t>2034</w:t>
      </w:r>
    </w:p>
    <w:p>
      <w:r>
        <w:t>Zasoby ludzkie 2.092 2.134 2.177 2.220 2.264 2.310 2.356 15.553</w:t>
      </w:r>
    </w:p>
    <w:p>
      <w:r>
        <w:t>Inne wydatki administracyjne 000 000 000 000 000 000 000 000 000 000 000 000 000</w:t>
      </w:r>
    </w:p>
    <w:p>
      <w:r>
        <w:t>Ogółem DG GROW Środki 2.092 2.134 2.177 2.220 2.264 2.310 2.356 15.553</w:t>
      </w:r>
    </w:p>
    <w:p>
      <w:r>
        <w:t>TOTA</w:t>
      </w:r>
    </w:p>
    <w:p>
      <w:r>
        <w:t>Rok 2015</w:t>
      </w:r>
    </w:p>
    <w:p>
      <w:r>
        <w:t>Rok Rok Rok Rok L WRF</w:t>
      </w:r>
    </w:p>
    <w:p>
      <w:r>
        <w:t>DG: Urząd Publikacji.</w:t>
      </w:r>
    </w:p>
    <w:p>
      <w:r>
        <w:t>2028 2029 2030 2031 2028—</w:t>
      </w:r>
    </w:p>
    <w:p>
      <w:r>
        <w:t>2032 2033 2034</w:t>
      </w:r>
    </w:p>
    <w:p>
      <w:r>
        <w:t>2034</w:t>
      </w:r>
    </w:p>
    <w:p>
      <w:r>
        <w:t>Zasoby ludzkie 0,776 0,792 0,807 0,823 0,840 0,857 0,874 5.769</w:t>
      </w:r>
    </w:p>
    <w:p>
      <w:r>
        <w:t>Inne wydatki administracyjne 000 000 000 000 000 000 000 000 000 000 000 000 000</w:t>
      </w:r>
    </w:p>
    <w:p>
      <w:r>
        <w:t>Środki 0,776 0,792 0,807 0,823 0,840 0,857 0,874 5.769</w:t>
      </w:r>
    </w:p>
    <w:p>
      <w:r>
        <w:t>Publikacje ogółem</w:t>
      </w:r>
    </w:p>
    <w:p>
      <w:pPr>
        <w:pStyle w:val="Heading1"/>
      </w:pPr>
      <w:r>
        <w:t>PL PL</w:t>
      </w:r>
    </w:p>
    <w:p>
      <w:r>
        <w:t>164</w:t>
      </w:r>
    </w:p>
    <w:p>
      <w:r>
        <w:t>Biuro</w:t>
      </w:r>
    </w:p>
    <w:p>
      <w:r>
        <w:t>(Ogółem</w:t>
      </w:r>
    </w:p>
    <w:p>
      <w:r>
        <w:t>Ogółem środki w ramach</w:t>
      </w:r>
    </w:p>
    <w:p>
      <w:r>
        <w:t>zobowiązanie</w:t>
      </w:r>
    </w:p>
    <w:p>
      <w:r>
        <w:t>Dział 4 wieloletnich ram finansowych 2.868 2.925 2.984 3.044 3.104 3.167 3.230 21.322</w:t>
      </w:r>
    </w:p>
    <w:p>
      <w:r>
        <w:t>NTS = Ogółem</w:t>
      </w:r>
    </w:p>
    <w:p>
      <w:r>
        <w:t>ram finansowych</w:t>
      </w:r>
    </w:p>
    <w:p>
      <w:r>
        <w:t>płatności)</w:t>
      </w:r>
    </w:p>
    <w:p>
      <w:r>
        <w:t>W mln EUR (do trzech miejsc po przecinku)</w:t>
      </w:r>
    </w:p>
    <w:p>
      <w:r>
        <w:t>OGÓŁEM</w:t>
      </w:r>
    </w:p>
    <w:p>
      <w:r>
        <w:t>Rok 2015</w:t>
      </w:r>
    </w:p>
    <w:p>
      <w:r>
        <w:t>Rok Rok Rok Rok Rok WRF</w:t>
      </w:r>
    </w:p>
    <w:p>
      <w:r>
        <w:t>2028 2029 2030 2031 2028—</w:t>
      </w:r>
    </w:p>
    <w:p>
      <w:r>
        <w:t>2032 2033 2034</w:t>
      </w:r>
    </w:p>
    <w:p>
      <w:r>
        <w:t>2034</w:t>
      </w:r>
    </w:p>
    <w:p>
      <w:r>
        <w:t>Ogółem środki na zobowiązania 21.984 22.424 22.872 23.330 23.796 24.272 24.758 163.437</w:t>
      </w:r>
    </w:p>
    <w:p>
      <w:r>
        <w:t>Działy od 1 do 4</w:t>
      </w:r>
    </w:p>
    <w:p>
      <w:r>
        <w:t>wieloletnich ram finansowych</w:t>
      </w:r>
    </w:p>
    <w:p>
      <w:r>
        <w:t>Płatności 7.553 15.419 20.163 28.031 28.092 32.058 32.121 163.437</w:t>
      </w:r>
    </w:p>
    <w:p>
      <w:r>
        <w:t>ramy</w:t>
      </w:r>
    </w:p>
    <w:p>
      <w:r>
        <w:t>3.2.3. Szacowany produkt finansowany ze środków operacyjnych (nie wypełniać w przypadku agencji zdecentralizowanych)</w:t>
      </w:r>
    </w:p>
    <w:p>
      <w:r>
        <w:t>Środki na zobowiązania w mln EUR (do trzech miejsc po przecinku)</w:t>
      </w:r>
    </w:p>
    <w:p>
      <w:r>
        <w:t>Rok Indi Year Rok Wprowadzić taką liczbę lat, jaka jest niezbędna do pokazania</w:t>
      </w:r>
    </w:p>
    <w:p>
      <w:r>
        <w:t>OGÓŁEM</w:t>
      </w:r>
    </w:p>
    <w:p>
      <w:r>
        <w:t>Cate 2024 2025 2026 2027 czas trwania wpływu (zob. sekcja 1.6)</w:t>
      </w:r>
    </w:p>
    <w:p>
      <w:r>
        <w:t>objaśnienie</w:t>
      </w:r>
    </w:p>
    <w:p>
      <w:r>
        <w:t>WYJŚCIA</w:t>
      </w:r>
    </w:p>
    <w:p>
      <w:r>
        <w:t>ctive</w:t>
      </w:r>
    </w:p>
    <w:p>
      <w:pPr>
        <w:pStyle w:val="Heading1"/>
      </w:pPr>
      <w:r>
        <w:t>PL PL</w:t>
      </w:r>
    </w:p>
    <w:p>
      <w:r>
        <w:t>165</w:t>
      </w:r>
    </w:p>
    <w:p>
      <w:r>
        <w:t>s</w:t>
      </w:r>
    </w:p>
    <w:p>
      <w:r>
        <w:t>oraz</w:t>
      </w:r>
    </w:p>
    <w:p>
      <w:r>
        <w:t>Typ Aver</w:t>
      </w:r>
    </w:p>
    <w:p>
      <w:r>
        <w:t>Ogółem</w:t>
      </w:r>
    </w:p>
    <w:p>
      <w:r>
        <w:t>wydźwięk</w:t>
      </w:r>
    </w:p>
    <w:p>
      <w:r>
        <w:t>(15) wiek brak kosztów brak kosztów brak kosztów brak kosztów brak kosztów brak kosztów brak kosztów brak kosztów brak kosztów</w:t>
      </w:r>
    </w:p>
    <w:p>
      <w:r>
        <w:t>Nr Koszt</w:t>
      </w:r>
    </w:p>
    <w:p>
      <w:r>
        <w:t>koszt UTS [13]</w:t>
      </w:r>
    </w:p>
    <w:p>
      <w:r>
        <w:t>⁪</w:t>
      </w:r>
    </w:p>
    <w:p>
      <w:r>
        <w:t>Cel SZCZEGÓŁOWY nr 1 (16)[14]: [...]</w:t>
      </w:r>
    </w:p>
    <w:p>
      <w:r>
        <w:t>—Wyjście</w:t>
      </w:r>
    </w:p>
    <w:p>
      <w:r>
        <w:t>—Wyjście</w:t>
      </w:r>
    </w:p>
    <w:p>
      <w:r>
        <w:t>—Wyjście</w:t>
      </w:r>
    </w:p>
    <w:p>
      <w:r>
        <w:t>Cel szczegółowy nr 1 – suma cząstkowa</w:t>
      </w:r>
    </w:p>
    <w:p>
      <w:r>
        <w:t>Cel SZCZEGÓŁOWY nr 2</w:t>
      </w:r>
    </w:p>
    <w:p>
      <w:pPr>
        <w:pStyle w:val="Heading1"/>
      </w:pPr>
      <w:r>
        <w:t>PL PL</w:t>
      </w:r>
    </w:p>
    <w:p>
      <w:r>
        <w:t>166</w:t>
      </w:r>
    </w:p>
    <w:p>
      <w:r>
        <w:t>...</w:t>
      </w:r>
    </w:p>
    <w:p>
      <w:r>
        <w:t>—Wyjście</w:t>
      </w:r>
    </w:p>
    <w:p>
      <w:r>
        <w:t>Cel szczegółowy nr 2 – suma cząstkowa</w:t>
      </w:r>
    </w:p>
    <w:p>
      <w:r>
        <w:t>SUMY</w:t>
      </w:r>
    </w:p>
    <w:p>
      <w:r>
        <w:t>3.2.4. Podsumowanie szacunkowego wpływu na środki administracyjne</w:t>
      </w:r>
    </w:p>
    <w:p>
      <w:r>
        <w:t>☐ wniosek/inicjatywa nie wiąże się z koniecznością wykorzystania środków administracyjnych</w:t>
      </w:r>
    </w:p>
    <w:p>
      <w:r>
        <w:t>☑ wniosek/inicjatywa wiąże się z koniecznością wykorzystania środków administracyjnych, jak określono poniżej:</w:t>
      </w:r>
    </w:p>
    <w:p>
      <w:r>
        <w:t>3.2.5. Środki z przyjętego budżetu</w:t>
      </w:r>
    </w:p>
    <w:p>
      <w:r>
        <w:t>OGÓŁEM</w:t>
      </w:r>
    </w:p>
    <w:p>
      <w:r>
        <w:t>Rok 2015</w:t>
      </w:r>
    </w:p>
    <w:p>
      <w:r>
        <w:t>Rok Rok Rok Rok</w:t>
      </w:r>
    </w:p>
    <w:p>
      <w:r>
        <w:t>PRZEGŁOSOWANE ŚRODKI WRF</w:t>
      </w:r>
    </w:p>
    <w:p>
      <w:r>
        <w:t>2028 2029 2030 2031</w:t>
      </w:r>
    </w:p>
    <w:p>
      <w:r>
        <w:t>2032 2033 2034</w:t>
      </w:r>
    </w:p>
    <w:p>
      <w:r>
        <w:t>2028-2034</w:t>
      </w:r>
    </w:p>
    <w:p>
      <w:r>
        <w:t>DZIAŁ 4</w:t>
      </w:r>
    </w:p>
    <w:p>
      <w:r>
        <w:t>Zasoby ludzkie 2.868 2.925 2.984 3.044 3.104 3.167 3.230 21.322</w:t>
      </w:r>
    </w:p>
    <w:p>
      <w:r>
        <w:t>Inne wydatki administracyjne 000 000 000 000 000 000 000 000 000 000 000 000 000</w:t>
      </w:r>
    </w:p>
    <w:p>
      <w:r>
        <w:t>Suma cząstkowa DZIAŁU 4 2.868 2.925 2.984 3.044 3.104 3.167 3.230 21.322</w:t>
      </w:r>
    </w:p>
    <w:p>
      <w:r>
        <w:t>Poza DZIAŁEM 4</w:t>
      </w:r>
    </w:p>
    <w:p>
      <w:pPr>
        <w:pStyle w:val="Heading1"/>
      </w:pPr>
      <w:r>
        <w:t>PL PL</w:t>
      </w:r>
    </w:p>
    <w:p>
      <w:r>
        <w:t>167</w:t>
      </w:r>
    </w:p>
    <w:p>
      <w:r>
        <w:t>Zasoby ludzkie 0 000 000 000 000 000 000 000 000 000 000 000 000</w:t>
      </w:r>
    </w:p>
    <w:p>
      <w:r>
        <w:t>Inne wydatki administracyjne</w:t>
      </w:r>
    </w:p>
    <w:p>
      <w:r>
        <w:t>0.000 0.000 0.000 0.000 0.000 0.000 0.000 0.000</w:t>
      </w:r>
    </w:p>
    <w:p>
      <w:r>
        <w:t>Natura</w:t>
      </w:r>
    </w:p>
    <w:p>
      <w:r>
        <w:t>Suma cząstkowa poza DZIAŁEM 4 000 000 000 000 000 000 000 000 000</w:t>
      </w:r>
    </w:p>
    <w:p>
      <w:r>
        <w:t>OGÓŁEM 2.868 2.925 2.984 3.044 3.104 3.167 3.230 21.322</w:t>
      </w:r>
    </w:p>
    <w:p>
      <w:r>
        <w:t>3.2.5.1. Ogółem środki</w:t>
      </w:r>
    </w:p>
    <w:p>
      <w:r>
        <w:t>ŁĄCZNA LICZBA TON PODDANYCH POD GŁOSOWANIE</w:t>
      </w:r>
    </w:p>
    <w:p>
      <w:r>
        <w:t>Rok Rok</w:t>
      </w:r>
    </w:p>
    <w:p>
      <w:r>
        <w:t>Środki Rok Rok Rok Rok Rok L WRF</w:t>
      </w:r>
    </w:p>
    <w:p>
      <w:r>
        <w:t>+2028 2029 2030 2031 2034 2028—</w:t>
      </w:r>
    </w:p>
    <w:p>
      <w:r>
        <w:t>2032 2033</w:t>
      </w:r>
    </w:p>
    <w:p>
      <w:r>
        <w:t>ZEWNĘTRZNY PRZYDZIELONY W 2034 R.</w:t>
      </w:r>
    </w:p>
    <w:p>
      <w:r>
        <w:t>PRZYCHODY</w:t>
      </w:r>
    </w:p>
    <w:p>
      <w:r>
        <w:t>DZIAŁ 4</w:t>
      </w:r>
    </w:p>
    <w:p>
      <w:r>
        <w:t>Zasoby ludzkie 2.868 2.925 2.984 3.044 3.104 3.167 3.230 21.322</w:t>
      </w:r>
    </w:p>
    <w:p>
      <w:r>
        <w:t>Inne administracyjne</w:t>
      </w:r>
    </w:p>
    <w:p>
      <w:r>
        <w:t>0.000 0.000 0.000 0.000 0.000 0.000 0.000 0.000</w:t>
      </w:r>
    </w:p>
    <w:p>
      <w:r>
        <w:t>wydatki</w:t>
      </w:r>
    </w:p>
    <w:p>
      <w:r>
        <w:t>Suma cząstkowa DZIAŁU 4 2.868 2.925 2.984 3.044 3.104 3.167 3.230 21.322</w:t>
      </w:r>
    </w:p>
    <w:p>
      <w:r>
        <w:t>Poza DZIAŁEM 4</w:t>
      </w:r>
    </w:p>
    <w:p>
      <w:pPr>
        <w:pStyle w:val="Heading1"/>
      </w:pPr>
      <w:r>
        <w:t>PL PL</w:t>
      </w:r>
    </w:p>
    <w:p>
      <w:r>
        <w:t>168</w:t>
      </w:r>
    </w:p>
    <w:p>
      <w:r>
        <w:t>Zasoby ludzkie 0 000 000 000 000 000 000 000 000 000 000 000 000</w:t>
      </w:r>
    </w:p>
    <w:p>
      <w:r>
        <w:t>Inne wydatki</w:t>
      </w:r>
    </w:p>
    <w:p>
      <w:r>
        <w:t>0.000 0.000 0.000 0.000 0.000 0.000 0.000 0.000</w:t>
      </w:r>
    </w:p>
    <w:p>
      <w:r>
        <w:t>charakter administracyjny</w:t>
      </w:r>
    </w:p>
    <w:p>
      <w:r>
        <w:t>Suma cząstkowa poza DZIAŁEM</w:t>
      </w:r>
    </w:p>
    <w:p>
      <w:r>
        <w:t>0.000 0.000 0.000 0.0000.000 0.000 0.000 0.000</w:t>
      </w:r>
    </w:p>
    <w:p>
      <w:r>
        <w:t>4</w:t>
      </w:r>
    </w:p>
    <w:p>
      <w:r>
        <w:t>OGÓŁEM 2.868 2.925 2.984 3.044 3.104 3.167 3.230 21.322</w:t>
      </w:r>
    </w:p>
    <w:p>
      <w:r>
        <w:t>Potrzeby kadrowe zostaną częściowo zaspokojone poprzez przesunięcie istniejących przydziałów służb Komisji. Niemniej jednak, pomimo znacznych wysiłków podjętych przez Komisję w ubiegłym roku w celu przesunięcia jej zasobów ludzkich, aby zapewnić pomyślną realizację i właściwe wdrożenie niniejszego wniosku, konieczne będzie dodatkowe zwiększenie personelu Komisji, aby zaspokoić pełne potrzeby.</w:t>
      </w:r>
    </w:p>
    <w:p>
      <w:r>
        <w:t>Szacunkowy wpływ na wydatki i personel na 2028 r. i kolejne lata dodano wyłącznie w celach ilustracyjnych i nie przesądza on o kolejnych wieloletnich ramach finansowych. Źródło finansowania i zakres zobowiązań finansowych Unii w okresie po 2027 r. nadal zależą od wyniku negocjacji międzyinstytucjonalnych w sprawie WRF na lata 2028–2034, a następnie określa się je w ramach rocznej procedury budżetowej. Wszystkie środki i przydziały personelu od 2028 r. mają charakter orientacyjny.</w:t>
      </w:r>
    </w:p>
    <w:p>
      <w:r>
        <w:t>3.2.6. Szacowane zapotrzebowanie na zasoby ludzkie</w:t>
      </w:r>
    </w:p>
    <w:p>
      <w:r>
        <w:t>☐ wniosek/inicjatywa nie wiąże się z koniecznością wykorzystania zasobów ludzkich</w:t>
      </w:r>
    </w:p>
    <w:p>
      <w:r>
        <w:t>☑ wniosek/inicjatywa wiąże się z koniecznością wykorzystania zasobów ludzkich, jak określono poniżej</w:t>
      </w:r>
    </w:p>
    <w:p>
      <w:r>
        <w:t>3.2.6.1. Finansowane z przyjętego budżetu</w:t>
      </w:r>
    </w:p>
    <w:p>
      <w:r>
        <w:t>Wartości szacunkowe należy wyrazić w ekwiwalentach pełnego czasu pracy (EPC) (17)[15]</w:t>
      </w:r>
    </w:p>
    <w:p>
      <w:pPr>
        <w:pStyle w:val="Heading1"/>
      </w:pPr>
      <w:r>
        <w:t>PL PL</w:t>
      </w:r>
    </w:p>
    <w:p>
      <w:r>
        <w:t>169</w:t>
      </w:r>
    </w:p>
    <w:p>
      <w:r>
        <w:t>Tak Tak Tak Tak Tak Tak</w:t>
      </w:r>
    </w:p>
    <w:p>
      <w:r>
        <w:t>ZAGŁOSOWAŁ</w:t>
      </w:r>
    </w:p>
    <w:p>
      <w:r>
        <w:t>Rok 2015</w:t>
      </w:r>
    </w:p>
    <w:p>
      <w:r>
        <w:t>AR ar ar ar</w:t>
      </w:r>
    </w:p>
    <w:p>
      <w:r>
        <w:t>PRZYSPOSOBIENIA</w:t>
      </w:r>
    </w:p>
    <w:p>
      <w:r>
        <w:t>20 20 20 20</w:t>
      </w:r>
    </w:p>
    <w:p>
      <w:r>
        <w:t>2032 2033 2034</w:t>
      </w:r>
    </w:p>
    <w:p>
      <w:r>
        <w:t>NS</w:t>
      </w:r>
    </w:p>
    <w:p>
      <w:r>
        <w:t>28 29 30 31</w:t>
      </w:r>
    </w:p>
    <w:p>
      <w:r>
        <w:t>Stanowiska przewidziane w planie zatrudnienia (stanowiska urzędników i pracowników zatrudnionych na czas określony)</w:t>
      </w:r>
    </w:p>
    <w:p>
      <w:r>
        <w:t>20 01 02 01 (w centrali i w biurach przedstawicielstw Komisji 12 12 12 12)</w:t>
      </w:r>
    </w:p>
    <w:p>
      <w:r>
        <w:t>20 01 02 03 (UE)</w:t>
      </w:r>
    </w:p>
    <w:p>
      <w:r>
        <w:t>0 0 0 0 0 0 0</w:t>
      </w:r>
    </w:p>
    <w:p>
      <w:r>
        <w:t>Delegacje)</w:t>
      </w:r>
    </w:p>
    <w:p>
      <w:r>
        <w:t>01 01 01 01</w:t>
      </w:r>
    </w:p>
    <w:p>
      <w:r>
        <w:t>0 0 0 0 0 0 0</w:t>
      </w:r>
    </w:p>
    <w:p>
      <w:r>
        <w:t>(Pośrednie badania naukowe)</w:t>
      </w:r>
    </w:p>
    <w:p>
      <w:r>
        <w:t>01 01 01 11 (bezpośrednie</w:t>
      </w:r>
    </w:p>
    <w:p>
      <w:r>
        <w:t>0 0 0 0 0 0 0</w:t>
      </w:r>
    </w:p>
    <w:p>
      <w:r>
        <w:t>badania naukowe)</w:t>
      </w:r>
    </w:p>
    <w:p>
      <w:r>
        <w:t>Inna linia budżetowa</w:t>
      </w:r>
    </w:p>
    <w:p>
      <w:r>
        <w:t>0 0 0 0 0 0 0</w:t>
      </w:r>
    </w:p>
    <w:p>
      <w:r>
        <w:t>(określić)</w:t>
      </w:r>
    </w:p>
    <w:p>
      <w:r>
        <w:t>Personel zewnętrzny (w EPC)</w:t>
      </w:r>
    </w:p>
    <w:p>
      <w:r>
        <w:t>20 02 01 (CA, KONIEC)</w:t>
      </w:r>
    </w:p>
    <w:p>
      <w:r>
        <w:t>5 5 5 5 5 5 5</w:t>
      </w:r>
    </w:p>
    <w:p>
      <w:r>
        <w:t>z globalnej</w:t>
      </w:r>
    </w:p>
    <w:p>
      <w:pPr>
        <w:pStyle w:val="Heading1"/>
      </w:pPr>
      <w:r>
        <w:t>PL PL</w:t>
      </w:r>
    </w:p>
    <w:p>
      <w:r>
        <w:t>170</w:t>
      </w:r>
    </w:p>
    <w:p>
      <w:r>
        <w:t>koperta")</w:t>
      </w:r>
    </w:p>
    <w:p>
      <w:r>
        <w:t>20 02 03 (CA, LA, SNE i JPD w</w:t>
      </w:r>
    </w:p>
    <w:p>
      <w:r>
        <w:t>0 0 0 0 0 0 0</w:t>
      </w:r>
    </w:p>
    <w:p>
      <w:r>
        <w:t>delegatury UE)</w:t>
      </w:r>
    </w:p>
    <w:p>
      <w:r>
        <w:t>Ad na</w:t>
      </w:r>
    </w:p>
    <w:p>
      <w:r>
        <w:t>min. siedziba główna 0 0 0 0 0 0 0</w:t>
      </w:r>
    </w:p>
    <w:p>
      <w:r>
        <w:t>Supp s (w jęz. angielskim)</w:t>
      </w:r>
    </w:p>
    <w:p>
      <w:r>
        <w:t>linia ORT</w:t>
      </w:r>
    </w:p>
    <w:p>
      <w:r>
        <w:t>[XX</w:t>
      </w:r>
    </w:p>
    <w:p>
      <w:r>
        <w:t>w UE</w:t>
      </w:r>
    </w:p>
    <w:p>
      <w:r>
        <w:t>.01. 0 0 0 0 0 0 0</w:t>
      </w:r>
    </w:p>
    <w:p>
      <w:r>
        <w:t>Delegacje</w:t>
      </w:r>
    </w:p>
    <w:p>
      <w:r>
        <w:t>YY. YY]</w:t>
      </w:r>
    </w:p>
    <w:p>
      <w:r>
        <w:t>01 01 01 02 (CA, SNE – Pośrednie 0 0 0 0 0 0 Badania naukowe)</w:t>
      </w:r>
    </w:p>
    <w:p>
      <w:r>
        <w:t>01 01 01 12 (CA, SNE – Bezpośrednie 0 0 0 0 0 0 0 Badania naukowe)</w:t>
      </w:r>
    </w:p>
    <w:p>
      <w:r>
        <w:t>Inne linie budżetowe (określić) – Dział 0 0 0 0 0 4</w:t>
      </w:r>
    </w:p>
    <w:p>
      <w:pPr>
        <w:pStyle w:val="Heading1"/>
      </w:pPr>
      <w:r>
        <w:t>PL PL</w:t>
      </w:r>
    </w:p>
    <w:p>
      <w:r>
        <w:t>171</w:t>
      </w:r>
    </w:p>
    <w:p>
      <w:r>
        <w:t>Inne linie budżetowe (określić) – Poza 0 0 0 0 0 Dział 4</w:t>
      </w:r>
    </w:p>
    <w:p>
      <w:r>
        <w:t>OGÓŁEM 17 17 17 17 17 17 17 17</w:t>
      </w:r>
    </w:p>
    <w:p>
      <w:r>
        <w:t>3.2.6.2. Zapotrzebowanie na zasoby ludzkie ogółem</w:t>
      </w:r>
    </w:p>
    <w:p>
      <w:r>
        <w:t>OGÓŁEM GŁOSOWANO</w:t>
      </w:r>
    </w:p>
    <w:p>
      <w:r>
        <w:t>Appropriatio Ye Ye Ye Ye</w:t>
      </w:r>
    </w:p>
    <w:p>
      <w:r>
        <w:t>Rok 2015</w:t>
      </w:r>
    </w:p>
    <w:p>
      <w:r>
        <w:t>NS ar ar ar ar</w:t>
      </w:r>
    </w:p>
    <w:p>
      <w:r>
        <w:t>+202 202 203 203</w:t>
      </w:r>
    </w:p>
    <w:p>
      <w:r>
        <w:t>2032 2033 2034</w:t>
      </w:r>
    </w:p>
    <w:p>
      <w:r>
        <w:t>ZEWNĘTRZNE 8 9 0 1</w:t>
      </w:r>
    </w:p>
    <w:p>
      <w:r>
        <w:t>DOCHODY PRZEZNACZONE NA OKREŚLONY CEL</w:t>
      </w:r>
    </w:p>
    <w:p>
      <w:r>
        <w:t>Stanowiska przewidziane w planie zatrudnienia (stanowiska urzędników i pracowników zatrudnionych na czas określony)</w:t>
      </w:r>
    </w:p>
    <w:p>
      <w:r>
        <w:t>20 01 02 01 (w centrali i w biurach przedstawicielstw Komisji 12 12 12 12)</w:t>
      </w:r>
    </w:p>
    <w:p>
      <w:r>
        <w:t>20 01 02 03 (UE)</w:t>
      </w:r>
    </w:p>
    <w:p>
      <w:r>
        <w:t>0 0 0 0 0 0 0</w:t>
      </w:r>
    </w:p>
    <w:p>
      <w:r>
        <w:t>Delegacje)</w:t>
      </w:r>
    </w:p>
    <w:p>
      <w:pPr>
        <w:pStyle w:val="Heading1"/>
      </w:pPr>
      <w:r>
        <w:t>PL PL</w:t>
      </w:r>
    </w:p>
    <w:p>
      <w:r>
        <w:t>172</w:t>
      </w:r>
    </w:p>
    <w:p>
      <w:r>
        <w:t>01 01 01 01</w:t>
      </w:r>
    </w:p>
    <w:p>
      <w:r>
        <w:t>0 0 0 0 0 0 0</w:t>
      </w:r>
    </w:p>
    <w:p>
      <w:r>
        <w:t>(Pośrednie badania naukowe)</w:t>
      </w:r>
    </w:p>
    <w:p>
      <w:r>
        <w:t>01 01 01 11 (bezpośrednie</w:t>
      </w:r>
    </w:p>
    <w:p>
      <w:r>
        <w:t>0 0 0 0 0 0 0</w:t>
      </w:r>
    </w:p>
    <w:p>
      <w:r>
        <w:t>badania naukowe)</w:t>
      </w:r>
    </w:p>
    <w:p>
      <w:r>
        <w:t>Inna linia budżetowa</w:t>
      </w:r>
    </w:p>
    <w:p>
      <w:r>
        <w:t>0 0 0 0 0 0 0</w:t>
      </w:r>
    </w:p>
    <w:p>
      <w:r>
        <w:t>(określić)</w:t>
      </w:r>
    </w:p>
    <w:p>
      <w:r>
        <w:t>Personel zewnętrzny (w EPC)</w:t>
      </w:r>
    </w:p>
    <w:p>
      <w:r>
        <w:t>20 02 01 (CA, SNE z globalnej puli środków 5 5 5 5 5 5 5 5)</w:t>
      </w:r>
    </w:p>
    <w:p>
      <w:r>
        <w:t>20 02 03 (CA, LA, SNE i JPD w</w:t>
      </w:r>
    </w:p>
    <w:p>
      <w:r>
        <w:t>0 0 0 0 0 0 0</w:t>
      </w:r>
    </w:p>
    <w:p>
      <w:r>
        <w:t>delegatury UE)</w:t>
      </w:r>
    </w:p>
    <w:p>
      <w:r>
        <w:t>Ad na</w:t>
      </w:r>
    </w:p>
    <w:p>
      <w:r>
        <w:t>min. siedziba główna 0 0 0 0 0 0 0</w:t>
      </w:r>
    </w:p>
    <w:p>
      <w:r>
        <w:t>SUP s</w:t>
      </w:r>
    </w:p>
    <w:p>
      <w:r>
        <w:t>linia portowa</w:t>
      </w:r>
    </w:p>
    <w:p>
      <w:r>
        <w:t>w UE</w:t>
      </w:r>
    </w:p>
    <w:p>
      <w:r>
        <w:t>[XX</w:t>
      </w:r>
    </w:p>
    <w:p>
      <w:r>
        <w:t>0 0 0 0 0 0 0</w:t>
      </w:r>
    </w:p>
    <w:p>
      <w:r>
        <w:t>Delegacje</w:t>
      </w:r>
    </w:p>
    <w:p>
      <w:r>
        <w:t>.01. YY.</w:t>
      </w:r>
    </w:p>
    <w:p>
      <w:pPr>
        <w:pStyle w:val="Heading1"/>
      </w:pPr>
      <w:r>
        <w:t>PL PL</w:t>
      </w:r>
    </w:p>
    <w:p>
      <w:r>
        <w:t>173</w:t>
      </w:r>
    </w:p>
    <w:p>
      <w:r>
        <w:t>YY]</w:t>
      </w:r>
    </w:p>
    <w:p>
      <w:r>
        <w:t>01 01 01 02 (CA, SNE – Pośrednie 0 0 0 0 0 0 Badania naukowe)</w:t>
      </w:r>
    </w:p>
    <w:p>
      <w:r>
        <w:t>01 01 01 12 (CA, SNE – Bezpośrednie 0 0 0 0 0 0 0 Badania naukowe)</w:t>
      </w:r>
    </w:p>
    <w:p>
      <w:r>
        <w:t>Inne linie budżetowe (określić) – Dział 0 0 0 0 0 4</w:t>
      </w:r>
    </w:p>
    <w:p>
      <w:r>
        <w:t>Inne linie budżetowe (określić) – Poza 0 0 0 0 0 Dział 4</w:t>
      </w:r>
    </w:p>
    <w:p>
      <w:r>
        <w:t>OGÓŁEM 17 17 17 17 17 17 17 17</w:t>
      </w:r>
    </w:p>
    <w:p>
      <w:r>
        <w:t>Personel niezbędny do wdrożenia wniosku (w EPC):</w:t>
      </w:r>
    </w:p>
    <w:p>
      <w:r>
        <w:t>Które mają być objęte</w:t>
      </w:r>
    </w:p>
    <w:p>
      <w:r>
        <w:t>obecny personel</w:t>
      </w:r>
    </w:p>
    <w:p>
      <w:r>
        <w:t>dostępny w ramach nadzwyczajnego personelu dodatkowego*</w:t>
      </w:r>
    </w:p>
    <w:p>
      <w:r>
        <w:t>Komisja</w:t>
      </w:r>
    </w:p>
    <w:p>
      <w:r>
        <w:t>usługi</w:t>
      </w:r>
    </w:p>
    <w:p>
      <w:r>
        <w:t>Do sfinansowania</w:t>
      </w:r>
    </w:p>
    <w:p>
      <w:r>
        <w:t>Do sfinansowania</w:t>
      </w:r>
    </w:p>
    <w:p>
      <w:r>
        <w:t>z linii BA z opłat</w:t>
      </w:r>
    </w:p>
    <w:p>
      <w:r>
        <w:t>pod nagłówkiem</w:t>
      </w:r>
    </w:p>
    <w:p>
      <w:pPr>
        <w:pStyle w:val="Heading1"/>
      </w:pPr>
      <w:r>
        <w:t>PL PL</w:t>
      </w:r>
    </w:p>
    <w:p>
      <w:r>
        <w:t>174</w:t>
      </w:r>
    </w:p>
    <w:p>
      <w:r>
        <w:t>4 lub Badania naukowe</w:t>
      </w:r>
    </w:p>
    <w:p>
      <w:r>
        <w:t>Ustanowienie</w:t>
      </w:r>
    </w:p>
    <w:p>
      <w:r>
        <w:t>3 9 NIE DOTYCZY</w:t>
      </w:r>
    </w:p>
    <w:p>
      <w:r>
        <w:t>stanowiska planistyczne</w:t>
      </w:r>
    </w:p>
    <w:p>
      <w:r>
        <w:t>Personel zewnętrzny (CA, SNE, 2 3 INT)</w:t>
      </w:r>
    </w:p>
    <w:p>
      <w:r>
        <w:t>Opis zadań do wykonania:</w:t>
      </w:r>
    </w:p>
    <w:p>
      <w:r>
        <w:t>Zadania, które mają być wykonywane przez urzędników i pracowników zatrudnionych na czas określony, dotyczą obszaru prac prawnych, obszaru prac technicznych, koordynacji i roli nadzorczej.</w:t>
      </w:r>
    </w:p>
    <w:p>
      <w:r>
        <w:t>DG GROW będzie odpowiedzialna za opracowanie całego projektu i zarządzanie nim. DG będzie współpracować z innymi dyrekcjami generalnymi</w:t>
      </w:r>
    </w:p>
    <w:p>
      <w:r>
        <w:t>Urzędnicy i pracownicy czasowi</w:t>
      </w:r>
    </w:p>
    <w:p>
      <w:r>
        <w:t>oraz służby Komisji, takie jak DIGIT, w sprawie wdrożenia PPDE.</w:t>
      </w:r>
    </w:p>
    <w:p>
      <w:r>
        <w:t>Urząd Publikacji będzie odpowiedzialny za zwiększenie skali swoich obecnych aplikacji, opracowanie norm i Ontologii e-zamówień oraz integrację z siecią interoperacyjności i wymianą danych PPDS.</w:t>
      </w:r>
    </w:p>
    <w:p>
      <w:r>
        <w:t>Zadania, które mają być wykonywane przez urzędników i pracowników zatrudnionych na czas określony, obejmują:</w:t>
      </w:r>
    </w:p>
    <w:p>
      <w:r>
        <w:t>Personel zewnętrzny – prace prawne, prace techniczne, koordynacja i rola nadzorcza.</w:t>
      </w:r>
    </w:p>
    <w:p>
      <w:r>
        <w:t>3.2.7. Przegląd szacowanego wpływu na inwestycje związane z technologiami cyfrowymi</w:t>
      </w:r>
    </w:p>
    <w:p>
      <w:r>
        <w:t>Obowiązkowo: obowiązkowo w tabeli poniżej: szacowany wpływ wniosku/inicjatywy na inwestycje związane z technologiami cyfrowymi.</w:t>
      </w:r>
    </w:p>
    <w:p>
      <w:pPr>
        <w:pStyle w:val="Heading1"/>
      </w:pPr>
      <w:r>
        <w:t>PL PL</w:t>
      </w:r>
    </w:p>
    <w:p>
      <w:r>
        <w:t>175</w:t>
      </w:r>
    </w:p>
    <w:p>
      <w:r>
        <w:t>W wyjątkowych przypadkach, jeżeli wymaga tego realizacja wniosku/inicjatywy, we wskazanym wierszu należy podać środki z działu 7.</w:t>
      </w:r>
    </w:p>
    <w:p>
      <w:r>
        <w:t>Środki z działów 1–6 należy podać w wierszu „Wydatki na IT wynikające z realizacji polityki tytułem programów operacyjnych”. Wydatki te odnoszą się do budżetu operacyjnego na ponowne wykorzystanie/zakup/rozwój platform/narzędzi informatycznych bezpośrednio związanych z realizacją inicjatywy oraz powiązanych z nimi inwestycji (np. licencje, badania, przechowywanie danych). Informacje podane w tej tabeli powinny zgadzać się z informacjami przedstawionymi w sekcji 4 „Wymiar cyfrowy”.</w:t>
      </w:r>
    </w:p>
    <w:p>
      <w:r>
        <w:t>OGÓŁEM</w:t>
      </w:r>
    </w:p>
    <w:p>
      <w:r>
        <w:t>Rok 2015</w:t>
      </w:r>
    </w:p>
    <w:p>
      <w:r>
        <w:t>Ogółem Rok Cyfryzacji i IT Rok Rok Rok</w:t>
      </w:r>
    </w:p>
    <w:p>
      <w:r>
        <w:t>DZIAŁY</w:t>
      </w:r>
    </w:p>
    <w:p>
      <w:pPr>
        <w:pStyle w:val="Heading3"/>
        <w:jc w:val="center"/>
      </w:pPr>
      <w:r>
        <w:t>Środki na lata 2028–2029 2031</w:t>
      </w:r>
    </w:p>
    <w:p>
      <w:r>
        <w:t>2032 2033 2034</w:t>
      </w:r>
    </w:p>
    <w:p>
      <w:r>
        <w:t>2028-2034</w:t>
      </w:r>
    </w:p>
    <w:p>
      <w:r>
        <w:t>DZIAŁ 4</w:t>
      </w:r>
    </w:p>
    <w:p>
      <w:r>
        <w:t>Wydatki na IT (korporacyjne) 0 000 000 000 000 000 000 000 000 000</w:t>
      </w:r>
    </w:p>
    <w:p>
      <w:r>
        <w:t>Suma cząstkowa DZIAŁU 4 000 000 000 000 000 000 000 000 000 000</w:t>
      </w:r>
    </w:p>
    <w:p>
      <w:r>
        <w:t>Poza DZIAŁEM 4</w:t>
      </w:r>
    </w:p>
    <w:p>
      <w:r>
        <w:t>Wydatki na IT w ramach polityki w zakresie</w:t>
      </w:r>
    </w:p>
    <w:p>
      <w:r>
        <w:t>19.116 19.499 19.888 20.286 20.692 21.106 21.528 142.115</w:t>
      </w:r>
    </w:p>
    <w:p>
      <w:r>
        <w:t>programy operacyjne</w:t>
      </w:r>
    </w:p>
    <w:p>
      <w:r>
        <w:t>Suma cząstkowa poza DZIAŁEM</w:t>
      </w:r>
    </w:p>
    <w:p>
      <w:r>
        <w:t>19.116 19.499 19.888 20.286 20.692 21.106 21.528 142.115</w:t>
      </w:r>
    </w:p>
    <w:p>
      <w:r>
        <w:t>4</w:t>
      </w:r>
    </w:p>
    <w:p>
      <w:r>
        <w:t>OGÓŁEM 19.116 19.499 19.888 20.286 20.692 21.106 21.528 142.115</w:t>
      </w:r>
    </w:p>
    <w:p>
      <w:pPr>
        <w:pStyle w:val="Heading1"/>
      </w:pPr>
      <w:r>
        <w:t>PL PL</w:t>
      </w:r>
    </w:p>
    <w:p>
      <w:r>
        <w:t>176</w:t>
      </w:r>
    </w:p>
    <w:p>
      <w:r>
        <w:t>3.2.8. Zgodność z obowiązującymi wieloletnimi ramami finansowymi</w:t>
      </w:r>
    </w:p>
    <w:p>
      <w:r>
        <w:t>Wniosek/inicjatywa:</w:t>
      </w:r>
    </w:p>
    <w:p>
      <w:r>
        <w:t>☑ może zostać w pełni sfinansowany(-a) przez przegrupowanie środków w ramach odpowiedniego działu wieloletnich ram finansowych (WRF).</w:t>
      </w:r>
    </w:p>
    <w:p>
      <w:r>
        <w:t>☐ wymaga zastosowania nieprzydzielonego marginesu środków w ramach odpowiedniego działu WRF lub zastosowania instrumentów szczególnych określonych w rozporządzeniu w sprawie WRF.</w:t>
      </w:r>
    </w:p>
    <w:p>
      <w:r>
        <w:t>☐ wymaga rewizji WRF.</w:t>
      </w:r>
    </w:p>
    <w:p>
      <w:r>
        <w:t>3.2.9. Udział osób trzecich w finansowaniu</w:t>
      </w:r>
    </w:p>
    <w:p>
      <w:r>
        <w:t>Wniosek/inicjatywa:</w:t>
      </w:r>
    </w:p>
    <w:p>
      <w:r>
        <w:t>☑ nie przewiduje współfinansowania ze strony osób trzecich</w:t>
      </w:r>
    </w:p>
    <w:p>
      <w:r>
        <w:t>☐ przewiduje współfinansowanie ze strony osób trzecich szacowane zgodnie z poniższymi szacunkami:</w:t>
      </w:r>
    </w:p>
    <w:p>
      <w:r>
        <w:t>Środki w mln EUR (do trzech miejsc po przecinku)</w:t>
      </w:r>
    </w:p>
    <w:p>
      <w:r>
        <w:t>Rok Rok Rok Rok</w:t>
      </w:r>
    </w:p>
    <w:p>
      <w:r>
        <w:t>Ogółem</w:t>
      </w:r>
    </w:p>
    <w:p>
      <w:r>
        <w:t>2024 2025 2026 2027</w:t>
      </w:r>
    </w:p>
    <w:p>
      <w:r>
        <w:t>Określić organ współfinansujący</w:t>
      </w:r>
    </w:p>
    <w:p>
      <w:r>
        <w:t>Ogółem środki objęte współfinansowaniem</w:t>
      </w:r>
    </w:p>
    <w:p>
      <w:r>
        <w:t>3.3. Szacowany wpływ na dochody</w:t>
      </w:r>
    </w:p>
    <w:p>
      <w:r>
        <w:t>☐ wniosek/inicjatywa nie ma wpływu finansowego na dochody.</w:t>
      </w:r>
    </w:p>
    <w:p>
      <w:r>
        <w:t>☐ wniosek/inicjatywa ma wpływ finansowy określony poniżej:</w:t>
      </w:r>
    </w:p>
    <w:p>
      <w:r>
        <w:t>☐ w sprawie zasobów własnych</w:t>
      </w:r>
    </w:p>
    <w:p>
      <w:r>
        <w:t>☐ wpływ na inne dochody</w:t>
      </w:r>
    </w:p>
    <w:p>
      <w:r>
        <w:t>☐ proszę wskazać, czy dochody są przypisane do linii budżetowej po stronie wydatków</w:t>
      </w:r>
    </w:p>
    <w:p>
      <w:r>
        <w:t>W mln EUR (do trzech miejsc po przecinku)</w:t>
      </w:r>
    </w:p>
    <w:p>
      <w:r>
        <w:t>Wpływ wniosku/inicjatywy (18)[1]</w:t>
      </w:r>
    </w:p>
    <w:p>
      <w:r>
        <w:t>Środki</w:t>
      </w:r>
    </w:p>
    <w:p>
      <w:r>
        <w:t>Pozycja w budżecie dotycząca dochodów:</w:t>
      </w:r>
    </w:p>
    <w:p>
      <w:r>
        <w:t>dostępne dla</w:t>
      </w:r>
    </w:p>
    <w:p>
      <w:r>
        <w:t>Rok Rok Rok Rok</w:t>
      </w:r>
    </w:p>
    <w:p>
      <w:pPr>
        <w:pStyle w:val="Heading1"/>
      </w:pPr>
      <w:r>
        <w:t>PL PL</w:t>
      </w:r>
    </w:p>
    <w:p>
      <w:r>
        <w:t>178</w:t>
      </w:r>
    </w:p>
    <w:p>
      <w:r>
        <w:t>bieżący rok budżetowy 2024 2025 2026 2027</w:t>
      </w:r>
    </w:p>
    <w:p>
      <w:r>
        <w:t>Artykuł...</w:t>
      </w:r>
    </w:p>
    <w:p>
      <w:r>
        <w:t>W przypadku wpływu na dochody przeznaczone na określony cel należy wskazać linie budżetowe po stronie wydatków, które ten wpływ obejmie.</w:t>
      </w:r>
    </w:p>
    <w:p>
      <w:r>
        <w:t>[...]</w:t>
      </w:r>
    </w:p>
    <w:p>
      <w:r>
        <w:t>Pozostałe uwagi (np. metoda/wzór użyte do obliczenia wpływu na dochody albo inne informacje).</w:t>
      </w:r>
    </w:p>
    <w:p>
      <w:r>
        <w:t>[...]</w:t>
      </w:r>
    </w:p>
    <w:p>
      <w:r>
        <w:t>4. DIGITALDIMENSIONS</w:t>
      </w:r>
    </w:p>
    <w:p>
      <w:r>
        <w:t>4.1. Wymogi cyfrowe</w:t>
      </w:r>
    </w:p>
    <w:p>
      <w:r>
        <w:t>Jeżeli inicjatywa oceniana jest jako nieposiadająca wymogów cyfrowych, proszę wyjaśnić, dlaczego nie wykorzystuje się środków cyfrowych.</w:t>
      </w:r>
    </w:p>
    <w:p>
      <w:r>
        <w:t>NIE DOTYCZY</w:t>
      </w:r>
    </w:p>
    <w:p>
      <w:pPr>
        <w:pStyle w:val="Heading3"/>
        <w:jc w:val="center"/>
      </w:pPr>
      <w:r>
        <w:t>W przeciwnym razie w poniższej tabeli proszę wymienić wymogi cyfrowe:</w:t>
      </w:r>
    </w:p>
    <w:p>
      <w:r>
        <w:t>Podmiot(-y), którego(-ych) dotyczy incydent, lub</w:t>
      </w:r>
    </w:p>
    <w:p>
      <w:r>
        <w:t>Odniesienie do wymogu</w:t>
      </w:r>
    </w:p>
    <w:p>
      <w:r>
        <w:t>zaniepokojone kategoriami procesów wysokiego szczebla</w:t>
      </w:r>
    </w:p>
    <w:p>
      <w:r>
        <w:t>opis wymogu</w:t>
      </w:r>
    </w:p>
    <w:p>
      <w:r>
        <w:t>wymaganie</w:t>
      </w:r>
    </w:p>
    <w:p>
      <w:r>
        <w:t>Komisji Europejskiej,</w:t>
      </w:r>
    </w:p>
    <w:p>
      <w:r>
        <w:t>Art. 110, art. 111, państwa członkowskie,</w:t>
      </w:r>
    </w:p>
    <w:p>
      <w:r>
        <w:t>Zasady publikacji Informacje Publikacja Dane</w:t>
      </w:r>
    </w:p>
    <w:p>
      <w:r>
        <w:t>Art. 112, art. 113 Dostawcy usług w zakresie e-zamówień</w:t>
      </w:r>
    </w:p>
    <w:p>
      <w:r>
        <w:t>Publiczne</w:t>
      </w:r>
    </w:p>
    <w:p>
      <w:r>
        <w:t>Elektroniczna</w:t>
      </w:r>
    </w:p>
    <w:p>
      <w:r>
        <w:t>Artykuł 127 Specyfikacje informatyczne Rozwiązania cyfrowe</w:t>
      </w:r>
    </w:p>
    <w:p>
      <w:r>
        <w:t>nabywcy, e-zamówienia</w:t>
      </w:r>
    </w:p>
    <w:p>
      <w:r>
        <w:t>komunikacja</w:t>
      </w:r>
    </w:p>
    <w:p>
      <w:r>
        <w:t>serwis</w:t>
      </w:r>
    </w:p>
    <w:p>
      <w:pPr>
        <w:pStyle w:val="Heading1"/>
      </w:pPr>
      <w:r>
        <w:t>PL PL</w:t>
      </w:r>
    </w:p>
    <w:p>
      <w:r>
        <w:t>179</w:t>
      </w:r>
    </w:p>
    <w:p>
      <w:r>
        <w:t>dostawcy, wykonawcy</w:t>
      </w:r>
    </w:p>
    <w:p>
      <w:r>
        <w:t>Komisji Europejskiej,</w:t>
      </w:r>
    </w:p>
    <w:p>
      <w:r>
        <w:t>Cyfrowe usługi publiczne;</w:t>
      </w:r>
    </w:p>
    <w:p>
      <w:r>
        <w:t>Państwa członkowskie,</w:t>
      </w:r>
    </w:p>
    <w:p>
      <w:r>
        <w:t>Artykuł 128 Zarządzanie danymi dotyczącymi sieci interoperacyjności</w:t>
      </w:r>
    </w:p>
    <w:p>
      <w:r>
        <w:t>Cyfryzacja procesów i</w:t>
      </w:r>
    </w:p>
    <w:p>
      <w:r>
        <w:t>usługa e-zamówień</w:t>
      </w:r>
    </w:p>
    <w:p>
      <w:r>
        <w:t>automatyzacji</w:t>
      </w:r>
    </w:p>
    <w:p>
      <w:r>
        <w:t>dostawców</w:t>
      </w:r>
    </w:p>
    <w:p>
      <w:r>
        <w:t>Normy zharmonizowane Komisja Europejska,</w:t>
      </w:r>
    </w:p>
    <w:p>
      <w:r>
        <w:t>Artykuły 129, 130</w:t>
      </w:r>
    </w:p>
    <w:p>
      <w:r>
        <w:t>w przypadku zamówień publicznych – państwa członkowskie, proces cyfryzacji i</w:t>
      </w:r>
    </w:p>
    <w:p>
      <w:r>
        <w:t>Zarządzanie danymi</w:t>
      </w:r>
    </w:p>
    <w:p>
      <w:r>
        <w:t>oraz wspólna automatyzacja usług e-zamówień</w:t>
      </w:r>
    </w:p>
    <w:p>
      <w:r>
        <w:t>dostawcy specyfikacji</w:t>
      </w:r>
    </w:p>
    <w:p>
      <w:r>
        <w:t>Obowiązki państw członkowskich,</w:t>
      </w:r>
    </w:p>
    <w:p>
      <w:r>
        <w:t>Rozwiązań cyfrowych;</w:t>
      </w:r>
    </w:p>
    <w:p>
      <w:r>
        <w:t>Artykuł 131 Specyfikacje informatyczne usługi e-zamówień</w:t>
      </w:r>
    </w:p>
    <w:p>
      <w:r>
        <w:t>Cyfrowe usługi publiczne</w:t>
      </w:r>
    </w:p>
    <w:p>
      <w:r>
        <w:t>dostawcy usług</w:t>
      </w:r>
    </w:p>
    <w:p>
      <w:r>
        <w:t>Komisji Europejskiej,</w:t>
      </w:r>
    </w:p>
    <w:p>
      <w:r>
        <w:t>Rozwiązań cyfrowych;</w:t>
      </w:r>
    </w:p>
    <w:p>
      <w:r>
        <w:t>Opracowanie przez Komisję cyfrowej</w:t>
      </w:r>
    </w:p>
    <w:p>
      <w:r>
        <w:t>Artykuł 133 Państwa członkowskie, publiczne</w:t>
      </w:r>
    </w:p>
    <w:p>
      <w:r>
        <w:t>rozwiązanie w zakresie platformy e-zamówień</w:t>
      </w:r>
    </w:p>
    <w:p>
      <w:r>
        <w:t>Cyfrowe usługi publiczne</w:t>
      </w:r>
    </w:p>
    <w:p>
      <w:r>
        <w:t>kupujący</w:t>
      </w:r>
    </w:p>
    <w:p>
      <w:r>
        <w:t>Dane;</w:t>
      </w:r>
    </w:p>
    <w:p>
      <w:r>
        <w:t>Komisji Europejskiej,</w:t>
      </w:r>
    </w:p>
    <w:p>
      <w:r>
        <w:t>Rozwiązań cyfrowych;</w:t>
      </w:r>
    </w:p>
    <w:p>
      <w:r>
        <w:t>Elektroniczna kwalifikowalność państw członkowskich, publiczny rozwój technologii cyfrowych</w:t>
      </w:r>
    </w:p>
    <w:p>
      <w:r>
        <w:t>Artykuł 131;</w:t>
      </w:r>
    </w:p>
    <w:p>
      <w:r>
        <w:t>Cyfrowe usługi publiczne;</w:t>
      </w:r>
    </w:p>
    <w:p>
      <w:r>
        <w:t>nabywcy usług, podmioty oferujące rozwiązania gospodarcze Proces cyfryzacji i</w:t>
      </w:r>
    </w:p>
    <w:p>
      <w:r>
        <w:t>automatyzacji</w:t>
      </w:r>
    </w:p>
    <w:p>
      <w:r>
        <w:t>Artykuł 134 Publiczne dane państw członkowskich;</w:t>
      </w:r>
    </w:p>
    <w:p>
      <w:r>
        <w:t>Krajowe systemy informatyczne i</w:t>
      </w:r>
    </w:p>
    <w:p>
      <w:pPr>
        <w:pStyle w:val="Heading1"/>
      </w:pPr>
      <w:r>
        <w:t>PL PL</w:t>
      </w:r>
    </w:p>
    <w:p>
      <w:r>
        <w:t>180</w:t>
      </w:r>
    </w:p>
    <w:p>
      <w:r>
        <w:t>Specyfikacje danych dotyczących zamówień publicznych, rozwiązania cyfrowe;</w:t>
      </w:r>
    </w:p>
    <w:p>
      <w:r>
        <w:t>Rozwój przestrzeni cyfrowej</w:t>
      </w:r>
    </w:p>
    <w:p>
      <w:r>
        <w:t>Cyfrowe usługi publiczne;</w:t>
      </w:r>
    </w:p>
    <w:p>
      <w:r>
        <w:t>rozwiązanie</w:t>
      </w:r>
    </w:p>
    <w:p>
      <w:r>
        <w:t>Cyfryzacja i automatyzacja procesów</w:t>
      </w:r>
    </w:p>
    <w:p>
      <w:r>
        <w:t>Dane;</w:t>
      </w:r>
    </w:p>
    <w:p>
      <w:r>
        <w:t>IT i dane</w:t>
      </w:r>
    </w:p>
    <w:p>
      <w:r>
        <w:t>Rozwiązań cyfrowych;</w:t>
      </w:r>
    </w:p>
    <w:p>
      <w:r>
        <w:t>Specyfikacje zamówień publicznych,</w:t>
      </w:r>
    </w:p>
    <w:p>
      <w:r>
        <w:t>Artykuł 135 Komisja Europejska</w:t>
      </w:r>
    </w:p>
    <w:p>
      <w:r>
        <w:t>Cyfrowe usługi publiczne;</w:t>
      </w:r>
    </w:p>
    <w:p>
      <w:r>
        <w:t>Opracowanie rozwiązania cyfrowego „Przestrzeń danych – cyfryzacja i</w:t>
      </w:r>
    </w:p>
    <w:p>
      <w:r>
        <w:t>automatyzacji</w:t>
      </w:r>
    </w:p>
    <w:p>
      <w:r>
        <w:t>Cyfrowe usługi publiczne;</w:t>
      </w:r>
    </w:p>
    <w:p>
      <w:r>
        <w:t>Komisji Europejskiej,</w:t>
      </w:r>
    </w:p>
    <w:p>
      <w:r>
        <w:t>Artykuł 136 Wymiana danych PPDS Wymiana danych</w:t>
      </w:r>
    </w:p>
    <w:p>
      <w:r>
        <w:t>Cyfryzacja procesów i</w:t>
      </w:r>
    </w:p>
    <w:p>
      <w:r>
        <w:t>Państwa członkowskie</w:t>
      </w:r>
    </w:p>
    <w:p>
      <w:r>
        <w:t>automatyzacji</w:t>
      </w:r>
    </w:p>
    <w:p>
      <w:r>
        <w:t>4.2. Dane</w:t>
      </w:r>
    </w:p>
    <w:p>
      <w:r>
        <w:t>Ogólny opis danych objętych zakresem oraz wszelkie powiązane normy/specyfikacje</w:t>
      </w:r>
    </w:p>
    <w:p>
      <w:r>
        <w:t>Norma lub specyfikacja (jeżeli</w:t>
      </w:r>
    </w:p>
    <w:p>
      <w:r>
        <w:t>Rodzaj danych Odniesienie do wymogów</w:t>
      </w:r>
    </w:p>
    <w:p>
      <w:r>
        <w:t>przypadkach),</w:t>
      </w:r>
    </w:p>
    <w:p>
      <w:r>
        <w:t>Publikowane informacje będą zawierać informacje wymienione w art. 110. Zgodnie z art. 110 ust. 6 i 7</w:t>
      </w:r>
    </w:p>
    <w:p>
      <w:r>
        <w:t>Dane dotyczące publikacji Artykuł 110</w:t>
      </w:r>
    </w:p>
    <w:p>
      <w:r>
        <w:t>Komisja określa to bardziej szczegółowo w drodze aktów delegowanych i wykonawczych.</w:t>
      </w:r>
    </w:p>
    <w:p>
      <w:pPr>
        <w:pStyle w:val="Heading1"/>
      </w:pPr>
      <w:r>
        <w:t>PL PL</w:t>
      </w:r>
    </w:p>
    <w:p>
      <w:r>
        <w:t>181</w:t>
      </w:r>
    </w:p>
    <w:p>
      <w:r>
        <w:t>Informacje określone w art. 134 będą udostępniane na szczeblu krajowym i unijnym. Jak określono w art. 134 ust. 7 oraz</w:t>
      </w:r>
    </w:p>
    <w:p>
      <w:r>
        <w:t>Ogólne dane dotyczące zamówień art. 134, 135</w:t>
      </w:r>
    </w:p>
    <w:p>
      <w:r>
        <w:t>8) i art. 135 ust. 3 Komisja doprecyzowuje tę kwestię w drodze aktów delegowanych i wykonawczych.</w:t>
      </w:r>
    </w:p>
    <w:p>
      <w:r>
        <w:t>Jak określono w art. 133 ust. 3 i 6, dowody dotyczące podstaw wykluczenia, dowody dotyczące kryteriów kwalifikacji, informacje o przedsiębiorstwie,</w:t>
      </w:r>
    </w:p>
    <w:p>
      <w:r>
        <w:t>Należy przedstawić dane dotyczące środków dowodowych, o których mowa w art. 133, oraz dowody pochodzenia</w:t>
      </w:r>
    </w:p>
    <w:p>
      <w:r>
        <w:t>dostępne w cyfrowym narzędziu do poświadczenia przedsiębiorstwa i udostępniane nabywcom za pośrednictwem elektronicznej usługi kwalifikowalności.</w:t>
      </w:r>
    </w:p>
    <w:p>
      <w:r>
        <w:t>Powiązanie z europejską strategią w zakresie danych</w:t>
      </w:r>
    </w:p>
    <w:p>
      <w:pPr>
        <w:pStyle w:val="Heading3"/>
        <w:jc w:val="center"/>
      </w:pPr>
      <w:r>
        <w:t>Wyjaśnić, w jaki sposób wymogi te są zgodne z europejską strategią w zakresie danych.</w:t>
      </w:r>
    </w:p>
    <w:p>
      <w:r>
        <w:t>Wniosek jest zgodny z europejską strategią w zakresie danych, ponieważ wprowadzi obowiązek udostępniania danych do przestrzeni danych dotyczących zamówień publicznych również poprzez wprowadzenie krajowej przestrzeni danych dotyczących zamówień publicznych w każdym państwie członkowskim. Dzięki temu wzmocnieniu zwiększona zostanie przejrzystość i rozliczalność wydatków publicznych, walka z korupcją i poprawa jakości wydatków.</w:t>
      </w:r>
    </w:p>
    <w:p>
      <w:r>
        <w:t>Powiązanie z zasadą jednorazowości</w:t>
      </w:r>
    </w:p>
    <w:p>
      <w:r>
        <w:t>Wyjaśnić, w jaki sposób uwzględniono zasadę jednorazowości i w jaki sposób zbadano możliwość ponownego wykorzystania istniejących danych.</w:t>
      </w:r>
    </w:p>
    <w:p>
      <w:r>
        <w:t>WE wniosku za główną zasadę uznano zasadę jednorazowości. Dzięki korzystaniu z elektronicznej usługi kwalifikowalności i narzędzia do cyfrowego poświadczenia przedsiębiorstwa wykonawca będzie mógł udostępnić dowody do udziału w postępowaniu o udzielenie zamówienia publicznego tylko raz.</w:t>
      </w:r>
    </w:p>
    <w:p>
      <w:r>
        <w:t>Wyjaśnić, w jaki sposób nowo utworzone dane są możliwe do znalezienia, dostępne, interoperacyjne i nadające się do ponownego wykorzystania oraz spełniają normy wysokiej jakości.</w:t>
      </w:r>
    </w:p>
    <w:p>
      <w:pPr>
        <w:pStyle w:val="Heading1"/>
      </w:pPr>
      <w:r>
        <w:t>PL PL</w:t>
      </w:r>
    </w:p>
    <w:p>
      <w:r>
        <w:t>182</w:t>
      </w:r>
    </w:p>
    <w:p>
      <w:r>
        <w:t>Nowo utworzone dane są zgodne z zasadami FAIR, ponieważ przestrzeń danych dotyczących zamówień publicznych będzie w bezpieczny sposób gromadzić, czyścić i dostosowywać wszystkie dane otrzymane od każdego państwa członkowskiego. Dane te będą dostępne, z pewnymi ograniczeniami mającymi zastosowanie do danych wrażliwych, aby każdy obywatel Unii miał dostęp do danych dotyczących zamówień publicznych i mógł uzyskać pełny obraz rynku europejskiego.</w:t>
      </w:r>
    </w:p>
    <w:p>
      <w:r>
        <w:t>Przepływy danych</w:t>
      </w:r>
    </w:p>
    <w:p>
      <w:r>
        <w:t>Wypełnić poniższą tabelę dla każdego rodzaju danych:</w:t>
      </w:r>
    </w:p>
    <w:p>
      <w:r>
        <w:t>Odniesienie(-a) do podmiotu, który otrzymuje czynnik uruchamiający dla danej częstotliwości (jeżeli</w:t>
      </w:r>
    </w:p>
    <w:p>
      <w:r>
        <w:t>Typ danych</w:t>
      </w:r>
    </w:p>
    <w:p>
      <w:r>
        <w:t>wymóg(-y) dotyczy(-ą) wymiany danych)</w:t>
      </w:r>
    </w:p>
    <w:p>
      <w:r>
        <w:t>Wykonawcy Publikacja zaproszenia do składania wniosków</w:t>
      </w:r>
    </w:p>
    <w:p>
      <w:r>
        <w:t>Dane dotyczące publikacji Artykuł 110 Nabywcy publiczni//</w:t>
      </w:r>
    </w:p>
    <w:p>
      <w:r>
        <w:t>w odniesieniu do przetargów</w:t>
      </w:r>
    </w:p>
    <w:p>
      <w:r>
        <w:t>Krajowy czynnik uruchamiający w zależności od</w:t>
      </w:r>
    </w:p>
    <w:p>
      <w:r>
        <w:t>Nie później niż 20</w:t>
      </w:r>
    </w:p>
    <w:p>
      <w:r>
        <w:t>Ogólna odpowiedzialność za dane</w:t>
      </w:r>
    </w:p>
    <w:p>
      <w:r>
        <w:t>Artykuł 134 Organ ds. NPPDS dni po</w:t>
      </w:r>
    </w:p>
    <w:p>
      <w:r>
        <w:t>instytucja ds. danych dotyczących zamówień publicznych, w tym kategoria, tj.</w:t>
      </w:r>
    </w:p>
    <w:p>
      <w:r>
        <w:t>spust</w:t>
      </w:r>
    </w:p>
    <w:p>
      <w:r>
        <w:t>zawarcie umowy z nabywcą publicznym</w:t>
      </w:r>
    </w:p>
    <w:p>
      <w:r>
        <w:t>Maks. 10 dni po</w:t>
      </w:r>
    </w:p>
    <w:p>
      <w:r>
        <w:t>Ogólna dostępność w</w:t>
      </w:r>
    </w:p>
    <w:p>
      <w:r>
        <w:t>Artykuł 135 Organ ds. PPDS urzędu ds. NPPDS</w:t>
      </w:r>
    </w:p>
    <w:p>
      <w:r>
        <w:t>dane dotyczące zamówień – NPPDS</w:t>
      </w:r>
    </w:p>
    <w:p>
      <w:r>
        <w:t>NPPDS</w:t>
      </w:r>
    </w:p>
    <w:p>
      <w:r>
        <w:t>Dane dotyczące sposobu składania</w:t>
      </w:r>
    </w:p>
    <w:p>
      <w:r>
        <w:t>Artykuł 133 Wykonawcy nabywcy publiczni//</w:t>
      </w:r>
    </w:p>
    <w:p>
      <w:r>
        <w:t>oferta potwierdzająca</w:t>
      </w:r>
    </w:p>
    <w:p>
      <w:r>
        <w:t>4.3. Rozwiązania cyfrowe</w:t>
      </w:r>
    </w:p>
    <w:p>
      <w:r>
        <w:t>Ogólny opis rozwiązań cyfrowych</w:t>
      </w:r>
    </w:p>
    <w:p>
      <w:r>
        <w:t>Główny upoważniony odpowiedzialny</w:t>
      </w:r>
    </w:p>
    <w:p>
      <w:r>
        <w:t>Odniesienie(-a) do tego, w jaki sposób wykorzystuje się sztuczną inteligencję</w:t>
      </w:r>
    </w:p>
    <w:p>
      <w:r>
        <w:t>Rozwiązania cyfrowe</w:t>
      </w:r>
    </w:p>
    <w:p>
      <w:r>
        <w:t>organ pełniący funkcje</w:t>
      </w:r>
    </w:p>
    <w:p>
      <w:r>
        <w:t>technologie zapewniające dostępność i możliwość ponownego wykorzystania (jeżeli</w:t>
      </w:r>
    </w:p>
    <w:p>
      <w:pPr>
        <w:pStyle w:val="Heading1"/>
      </w:pPr>
      <w:r>
        <w:t>PL PL</w:t>
      </w:r>
    </w:p>
    <w:p>
      <w:r>
        <w:t>183</w:t>
      </w:r>
    </w:p>
    <w:p>
      <w:r>
        <w:t>wymogi, których dotyczy wniosek/inicjatywa? rozważane?)</w:t>
      </w:r>
    </w:p>
    <w:p>
      <w:pPr>
        <w:pStyle w:val="Heading3"/>
        <w:jc w:val="center"/>
      </w:pPr>
      <w:r>
        <w:t>Przez</w:t>
      </w:r>
    </w:p>
    <w:p>
      <w:r>
        <w:t>platformy e-zamówień:</w:t>
      </w:r>
    </w:p>
    <w:p>
      <w:r>
        <w:t>Być zgodne ze zharmonizowanymi normami,</w:t>
      </w:r>
    </w:p>
    <w:p>
      <w:r>
        <w:t>Podłącz się do interoperacyjności</w:t>
      </w:r>
    </w:p>
    <w:p>
      <w:r>
        <w:t>e-zamówienia</w:t>
      </w:r>
    </w:p>
    <w:p>
      <w:r>
        <w:t>sieć</w:t>
      </w:r>
    </w:p>
    <w:p>
      <w:r>
        <w:t>e-zamówienia, art. 127,</w:t>
      </w:r>
    </w:p>
    <w:p>
      <w:r>
        <w:t>usługi nie dotyczy</w:t>
      </w:r>
    </w:p>
    <w:p>
      <w:r>
        <w:t>platformy Artykuł 131</w:t>
      </w:r>
    </w:p>
    <w:p>
      <w:r>
        <w:t>Zapewnienie dostępu do</w:t>
      </w:r>
    </w:p>
    <w:p>
      <w:r>
        <w:t>dostawców</w:t>
      </w:r>
    </w:p>
    <w:p>
      <w:r>
        <w:t>szczegółowe informacje dotyczące zamówienia</w:t>
      </w:r>
    </w:p>
    <w:p>
      <w:r>
        <w:t>Być połączony z elektronicznym serwisem kwalifikacyjnym e</w:t>
      </w:r>
    </w:p>
    <w:p>
      <w:r>
        <w:t>Połącz się z NPPDS</w:t>
      </w:r>
    </w:p>
    <w:p>
      <w:r>
        <w:t>Jego celem jest:</w:t>
      </w:r>
    </w:p>
    <w:p>
      <w:r>
        <w:t>Komisja</w:t>
      </w:r>
    </w:p>
    <w:p>
      <w:r>
        <w:t>Platforma</w:t>
      </w:r>
    </w:p>
    <w:p>
      <w:r>
        <w:t>moduły wielokrotnego użytku</w:t>
      </w:r>
    </w:p>
    <w:p>
      <w:r>
        <w:t>Komisja – e-zamówienia</w:t>
      </w:r>
    </w:p>
    <w:p>
      <w:r>
        <w:t>będzie</w:t>
      </w:r>
    </w:p>
    <w:p>
      <w:r>
        <w:t>Europejski</w:t>
      </w:r>
    </w:p>
    <w:p>
      <w:r>
        <w:t>już istniejące</w:t>
      </w:r>
    </w:p>
    <w:p>
      <w:r>
        <w:t>platforma e-zamówień, o której mowa w art. 132: NIE DOTYCZY</w:t>
      </w:r>
    </w:p>
    <w:p>
      <w:r>
        <w:t>opracowano w celu</w:t>
      </w:r>
    </w:p>
    <w:p>
      <w:r>
        <w:t>Komisja</w:t>
      </w:r>
    </w:p>
    <w:p>
      <w:r>
        <w:t>w Unii Europejskiej</w:t>
      </w:r>
    </w:p>
    <w:p>
      <w:r>
        <w:t>platforma</w:t>
      </w:r>
    </w:p>
    <w:p>
      <w:r>
        <w:t>brać pod uwagę</w:t>
      </w:r>
    </w:p>
    <w:p>
      <w:r>
        <w:t>Być zgodne z przepisami</w:t>
      </w:r>
    </w:p>
    <w:p>
      <w:r>
        <w:t>Komisja lub</w:t>
      </w:r>
    </w:p>
    <w:p>
      <w:r>
        <w:t>dostępność</w:t>
      </w:r>
    </w:p>
    <w:p>
      <w:r>
        <w:t>zharmonizowana</w:t>
      </w:r>
    </w:p>
    <w:p>
      <w:r>
        <w:t>w państwie członkowskim</w:t>
      </w:r>
    </w:p>
    <w:p>
      <w:pPr>
        <w:pStyle w:val="Heading1"/>
      </w:pPr>
      <w:r>
        <w:t>PL PL</w:t>
      </w:r>
    </w:p>
    <w:p>
      <w:r>
        <w:t>184</w:t>
      </w:r>
    </w:p>
    <w:p>
      <w:r>
        <w:t>normy, wymogi. Państwa, które mają budować</w:t>
      </w:r>
    </w:p>
    <w:p>
      <w:r>
        <w:t>przez</w:t>
      </w:r>
    </w:p>
    <w:p>
      <w:r>
        <w:t>Połącz się z</w:t>
      </w:r>
    </w:p>
    <w:p>
      <w:r>
        <w:t>e-zamówienia</w:t>
      </w:r>
    </w:p>
    <w:p>
      <w:r>
        <w:t>interoperacyjności</w:t>
      </w:r>
    </w:p>
    <w:p>
      <w:r>
        <w:t>platforma, która:</w:t>
      </w:r>
    </w:p>
    <w:p>
      <w:r>
        <w:t>sieć</w:t>
      </w:r>
    </w:p>
    <w:p>
      <w:r>
        <w:t>zostaną dostarczone</w:t>
      </w:r>
    </w:p>
    <w:p>
      <w:r>
        <w:t>Zapewnienie dostępu do</w:t>
      </w:r>
    </w:p>
    <w:p>
      <w:r>
        <w:t>przez Europejskiego</w:t>
      </w:r>
    </w:p>
    <w:p>
      <w:r>
        <w:t>przetargi</w:t>
      </w:r>
    </w:p>
    <w:p>
      <w:r>
        <w:t>Komisji.</w:t>
      </w:r>
    </w:p>
    <w:p>
      <w:r>
        <w:t>szczegóły</w:t>
      </w:r>
    </w:p>
    <w:p>
      <w:r>
        <w:t>Platforma w pełni</w:t>
      </w:r>
    </w:p>
    <w:p>
      <w:r>
        <w:t>Być połączony(-a) z</w:t>
      </w:r>
    </w:p>
    <w:p>
      <w:r>
        <w:t>dostępne jako</w:t>
      </w:r>
    </w:p>
    <w:p>
      <w:r>
        <w:t>przez</w:t>
      </w:r>
    </w:p>
    <w:p>
      <w:r>
        <w:t>otwarte oprogramowanie.</w:t>
      </w:r>
    </w:p>
    <w:p>
      <w:r>
        <w:t>usługa elektronicznego pozbywania się eigibi</w:t>
      </w:r>
    </w:p>
    <w:p>
      <w:r>
        <w:t>Połącz się z</w:t>
      </w:r>
    </w:p>
    <w:p>
      <w:pPr>
        <w:pStyle w:val="Heading3"/>
        <w:jc w:val="center"/>
      </w:pPr>
      <w:r>
        <w:t>ELEKTROWNIE JĄDROWE</w:t>
      </w:r>
    </w:p>
    <w:p>
      <w:r>
        <w:t>Jego celem jest:</w:t>
      </w:r>
    </w:p>
    <w:p>
      <w:r>
        <w:t>Elektroniczny</w:t>
      </w:r>
    </w:p>
    <w:p>
      <w:r>
        <w:t>moduły wielokrotnego użytku</w:t>
      </w:r>
    </w:p>
    <w:p>
      <w:r>
        <w:t>kwalifikowalności</w:t>
      </w:r>
    </w:p>
    <w:p>
      <w:r>
        <w:t>już istniejące</w:t>
      </w:r>
    </w:p>
    <w:p>
      <w:r>
        <w:t>doręczenie:</w:t>
      </w:r>
    </w:p>
    <w:p>
      <w:r>
        <w:t>w Unii Europejskiej</w:t>
      </w:r>
    </w:p>
    <w:p>
      <w:r>
        <w:t>Platforma</w:t>
      </w:r>
    </w:p>
    <w:p>
      <w:r>
        <w:t>Umożliwienie funkcjonowania Komisji ds. Technologii Cyfrowych,</w:t>
      </w:r>
    </w:p>
    <w:p>
      <w:r>
        <w:t>będzie</w:t>
      </w:r>
    </w:p>
    <w:p>
      <w:r>
        <w:t>Elektroniczna weryfikacja takiego dokumentu jak eCertis</w:t>
      </w:r>
    </w:p>
    <w:p>
      <w:r>
        <w:t>Europejskie opracowane w celu</w:t>
      </w:r>
    </w:p>
    <w:p>
      <w:r>
        <w:t>kwalifikowalność przedsiębiorstwa na podstawie art. 133 i jednolity europejski dokument zamówienia, nie dotyczy</w:t>
      </w:r>
    </w:p>
    <w:p>
      <w:r>
        <w:t>Komisja bierze pod uwagę</w:t>
      </w:r>
    </w:p>
    <w:p>
      <w:r>
        <w:t>informacje o usługach w celu zbudowania</w:t>
      </w:r>
    </w:p>
    <w:p>
      <w:r>
        <w:t>dostępność</w:t>
      </w:r>
    </w:p>
    <w:p>
      <w:r>
        <w:t>usługi wykluczania oraz</w:t>
      </w:r>
    </w:p>
    <w:p>
      <w:r>
        <w:t>wymogi.</w:t>
      </w:r>
    </w:p>
    <w:p>
      <w:r>
        <w:t>podstawy, połączyć go z</w:t>
      </w:r>
    </w:p>
    <w:p>
      <w:r>
        <w:t>kryteria wyboru przedsiębiorstwa cyfrowego</w:t>
      </w:r>
    </w:p>
    <w:p>
      <w:r>
        <w:t>oraz narzędzie uwierzytelniające.</w:t>
      </w:r>
    </w:p>
    <w:p>
      <w:r>
        <w:t>wymogi</w:t>
      </w:r>
    </w:p>
    <w:p>
      <w:r>
        <w:t>Usługa w całości</w:t>
      </w:r>
    </w:p>
    <w:p>
      <w:pPr>
        <w:pStyle w:val="Heading1"/>
      </w:pPr>
      <w:r>
        <w:t>PL PL</w:t>
      </w:r>
    </w:p>
    <w:p>
      <w:r>
        <w:t>185</w:t>
      </w:r>
    </w:p>
    <w:p>
      <w:r>
        <w:t>źródło dostępne jako otwarte oprogramowanie.</w:t>
      </w:r>
    </w:p>
    <w:p>
      <w:r>
        <w:t>Krajowy</w:t>
      </w:r>
    </w:p>
    <w:p>
      <w:pPr>
        <w:pStyle w:val="Heading3"/>
        <w:jc w:val="center"/>
      </w:pPr>
      <w:r>
        <w:t>Publiczne</w:t>
      </w:r>
    </w:p>
    <w:p>
      <w:r>
        <w:t>Przestrzenie danych dotyczących zamówień:</w:t>
      </w:r>
    </w:p>
    <w:p>
      <w:r>
        <w:t>Krajowe publiczne połączenie z</w:t>
      </w:r>
    </w:p>
    <w:p>
      <w:r>
        <w:t>Zamówienia publiczne Artykuł 134 Publiczne państwa członkowskie Nie dotyczy</w:t>
      </w:r>
    </w:p>
    <w:p>
      <w:r>
        <w:t>Przestrzeń danych dotyczących zamówień publicznych Przestrzeń danych dotyczących zamówień</w:t>
      </w:r>
    </w:p>
    <w:p>
      <w:r>
        <w:t>Zapewnienie dostępności wszystkich danych z różnych źródeł</w:t>
      </w:r>
    </w:p>
    <w:p>
      <w:r>
        <w:t>Opinia publiczna</w:t>
      </w:r>
    </w:p>
    <w:p>
      <w:r>
        <w:t>Przestrzeń danych dotyczących zamówień publicznych</w:t>
      </w:r>
    </w:p>
    <w:p>
      <w:r>
        <w:t>Platforma</w:t>
      </w:r>
    </w:p>
    <w:p>
      <w:r>
        <w:t>musi:</w:t>
      </w:r>
    </w:p>
    <w:p>
      <w:r>
        <w:t>będzie</w:t>
      </w:r>
    </w:p>
    <w:p>
      <w:r>
        <w:t>Publiczne</w:t>
      </w:r>
    </w:p>
    <w:p>
      <w:r>
        <w:t>Europejskie opracowane w celu</w:t>
      </w:r>
    </w:p>
    <w:p>
      <w:r>
        <w:t>Zawierać publicznie</w:t>
      </w:r>
    </w:p>
    <w:p>
      <w:r>
        <w:t>Zamówienia publiczne Artykuł 135 nie dotyczy</w:t>
      </w:r>
    </w:p>
    <w:p>
      <w:r>
        <w:t>Komisja bierze pod uwagę</w:t>
      </w:r>
    </w:p>
    <w:p>
      <w:r>
        <w:t>dostępne dane</w:t>
      </w:r>
    </w:p>
    <w:p>
      <w:r>
        <w:t>Przestrzeń danych</w:t>
      </w:r>
    </w:p>
    <w:p>
      <w:r>
        <w:t>dostępność</w:t>
      </w:r>
    </w:p>
    <w:p>
      <w:r>
        <w:t>oraz dane, które są</w:t>
      </w:r>
    </w:p>
    <w:p>
      <w:r>
        <w:t>wymogi.</w:t>
      </w:r>
    </w:p>
    <w:p>
      <w:r>
        <w:t>niepubliczne</w:t>
      </w:r>
    </w:p>
    <w:p>
      <w:r>
        <w:t>dostępne</w:t>
      </w:r>
    </w:p>
    <w:p>
      <w:r>
        <w:t>Pozwól na</w:t>
      </w:r>
    </w:p>
    <w:p>
      <w:pPr>
        <w:pStyle w:val="Heading1"/>
      </w:pPr>
      <w:r>
        <w:t>PL PL</w:t>
      </w:r>
    </w:p>
    <w:p>
      <w:r>
        <w:t>186</w:t>
      </w:r>
    </w:p>
    <w:p>
      <w:r>
        <w:t>różne prawa dostępu</w:t>
      </w:r>
    </w:p>
    <w:p>
      <w:r>
        <w:t>W odniesieniu do każdego rozwiązania cyfrowego – wyjaśnienie, w jaki sposób rozwiązanie cyfrowe jest zgodne z obowiązującymi politykami cyfrowymi i aktami ustawodawczymi</w:t>
      </w:r>
    </w:p>
    <w:p>
      <w:r>
        <w:t>Platforma e-zamówień Komisji</w:t>
      </w:r>
    </w:p>
    <w:p>
      <w:r>
        <w:t>Polityka cyfrowa lub sektorowa</w:t>
      </w:r>
    </w:p>
    <w:p>
      <w:r>
        <w:t>Wyjaśnienie, w jaki sposób te polityki są zgodne</w:t>
      </w:r>
    </w:p>
    <w:p>
      <w:r>
        <w:t>(jeżeli mają zastosowanie)</w:t>
      </w:r>
    </w:p>
    <w:p>
      <w:r>
        <w:t>W odniesieniu do podstawowych zobowiązań prawnych nie przewiduje się podejmowania decyzji w oparciu o sztuczną inteligencję. W przypadku ryzyka zautomatyzowanego</w:t>
      </w:r>
    </w:p>
    <w:p>
      <w:r>
        <w:t>Wprowadza się wykrywanie, ranking, zalecenia lub analizę nadużyć finansowych w ramach aktu w sprawie sztucznej inteligencji, przeprowadza się ocenę ryzyka/zgodności z aktem w sprawie sztucznej inteligencji.</w:t>
      </w:r>
    </w:p>
    <w:p>
      <w:r>
        <w:t>Bez uszczerbku dla rozporządzenia (UE) 2016/679 państwa członkowskie zapewniają bezpieczeństwo,</w:t>
      </w:r>
    </w:p>
    <w:p>
      <w:r>
        <w:t>Integralność, autentyczność i poufność unijnych ram cyberbezpieczeństwa w odniesieniu do danych gromadzonych i przechowywanych do celów niniejszego rozporządzenia. Do uszczegółowienia w specyfikacjach technicznych.</w:t>
      </w:r>
    </w:p>
    <w:p>
      <w:r>
        <w:t>eIDAS eIDAS może nie mieć znaczenia dla identyfikacji, uwierzytelniania i wymiany poświadczeń.</w:t>
      </w:r>
    </w:p>
    <w:p>
      <w:r>
        <w:t>Jednolity portal cyfrowy i jednolity portal cyfrowy IMI oraz IMI nie są wykorzystywane jako kanały wdrażania na tym etapie.</w:t>
      </w:r>
    </w:p>
    <w:p>
      <w:r>
        <w:t>Inne//</w:t>
      </w:r>
    </w:p>
    <w:p>
      <w:r>
        <w:t>Platforma e-zamówień Komisji</w:t>
      </w:r>
    </w:p>
    <w:p>
      <w:r>
        <w:t>Polityka cyfrowa lub sektorowa</w:t>
      </w:r>
    </w:p>
    <w:p>
      <w:r>
        <w:t>Wyjaśnienie, w jaki sposób te polityki są zgodne</w:t>
      </w:r>
    </w:p>
    <w:p>
      <w:r>
        <w:t>(jeżeli mają zastosowanie)</w:t>
      </w:r>
    </w:p>
    <w:p>
      <w:r>
        <w:t>W odniesieniu do podstawowych zobowiązań prawnych nie przewiduje się podejmowania decyzji w oparciu o sztuczną inteligencję. W przypadku ryzyka zautomatyzowanego</w:t>
      </w:r>
    </w:p>
    <w:p>
      <w:r>
        <w:t>Akt w sprawie AI</w:t>
      </w:r>
    </w:p>
    <w:p>
      <w:r>
        <w:t>wprowadza się akt w sprawie sztucznej inteligencji dotyczący wykrywania, plasowania, rekomendacji lub analizy nadużyć finansowych</w:t>
      </w:r>
    </w:p>
    <w:p>
      <w:pPr>
        <w:pStyle w:val="Heading1"/>
      </w:pPr>
      <w:r>
        <w:t>PL PL</w:t>
      </w:r>
    </w:p>
    <w:p>
      <w:r>
        <w:t>187</w:t>
      </w:r>
    </w:p>
    <w:p>
      <w:r>
        <w:t>Polityka cyfrowa lub sektorowa</w:t>
      </w:r>
    </w:p>
    <w:p>
      <w:r>
        <w:t>Wyjaśnienie, w jaki sposób te polityki są zgodne</w:t>
      </w:r>
    </w:p>
    <w:p>
      <w:r>
        <w:t>(jeżeli mają zastosowanie)</w:t>
      </w:r>
    </w:p>
    <w:p>
      <w:r>
        <w:t>przeprowadzona zostanie ocena ryzyka/zgodności.</w:t>
      </w:r>
    </w:p>
    <w:p>
      <w:r>
        <w:t>Bez uszczerbku dla rozporządzenia (UE) 2016/679 państwa członkowskie zapewniają bezpieczeństwo,</w:t>
      </w:r>
    </w:p>
    <w:p>
      <w:r>
        <w:t>Integralność, autentyczność i poufność unijnych ram cyberbezpieczeństwa w odniesieniu do danych gromadzonych i przechowywanych do celów niniejszego rozporządzenia. Do uszczegółowienia w specyfikacjach technicznych.</w:t>
      </w:r>
    </w:p>
    <w:p>
      <w:r>
        <w:t>eIDAS eIDAS może nie mieć znaczenia dla identyfikacji, uwierzytelniania i wymiany poświadczeń.</w:t>
      </w:r>
    </w:p>
    <w:p>
      <w:r>
        <w:t>Jednolity portal cyfrowy i jednolity portal cyfrowy IMI oraz IMI nie są wykorzystywane jako kanały wdrażania na tym etapie.</w:t>
      </w:r>
    </w:p>
    <w:p>
      <w:r>
        <w:t>Inne//</w:t>
      </w:r>
    </w:p>
    <w:p>
      <w:r>
        <w:t>Elektroniczna usługa kwalifikowalności</w:t>
      </w:r>
    </w:p>
    <w:p>
      <w:r>
        <w:t>Polityka cyfrowa lub sektorowa</w:t>
      </w:r>
    </w:p>
    <w:p>
      <w:r>
        <w:t>Wyjaśnienie, w jaki sposób te polityki są zgodne</w:t>
      </w:r>
    </w:p>
    <w:p>
      <w:r>
        <w:t>(jeżeli mają zastosowanie)</w:t>
      </w:r>
    </w:p>
    <w:p>
      <w:r>
        <w:t>W odniesieniu do podstawowych zobowiązań prawnych nie przewiduje się podejmowania decyzji w oparciu o sztuczną inteligencję. W przypadku ryzyka zautomatyzowanego</w:t>
      </w:r>
    </w:p>
    <w:p>
      <w:r>
        <w:t>Wprowadza się wykrywanie, ranking, zalecenia lub analizę nadużyć finansowych w ramach aktu w sprawie sztucznej inteligencji, przeprowadza się ocenę ryzyka/zgodności z aktem w sprawie sztucznej inteligencji.</w:t>
      </w:r>
    </w:p>
    <w:p>
      <w:r>
        <w:t>Bez uszczerbku dla rozporządzenia (UE) 2016/679 państwa członkowskie zapewniają bezpieczeństwo,</w:t>
      </w:r>
    </w:p>
    <w:p>
      <w:r>
        <w:t>Integralność, autentyczność i poufność unijnych ram cyberbezpieczeństwa w odniesieniu do danych gromadzonych i przechowywanych do celów niniejszego rozporządzenia. Do uszczegółowienia w specyfikacjach technicznych.</w:t>
      </w:r>
    </w:p>
    <w:p>
      <w:r>
        <w:t>eIDAS eIDAS może nie mieć znaczenia dla identyfikacji, uwierzytelniania i wymiany poświadczeń.</w:t>
      </w:r>
    </w:p>
    <w:p>
      <w:pPr>
        <w:pStyle w:val="Heading1"/>
      </w:pPr>
      <w:r>
        <w:t>PL PL</w:t>
      </w:r>
    </w:p>
    <w:p>
      <w:r>
        <w:t>188</w:t>
      </w:r>
    </w:p>
    <w:p>
      <w:r>
        <w:t>Jednolity portal cyfrowy i jednolity portal cyfrowy IMI oraz IMI nie są wykorzystywane jako kanały wdrażania na tym etapie.</w:t>
      </w:r>
    </w:p>
    <w:p>
      <w:r>
        <w:t>Inne//</w:t>
      </w:r>
    </w:p>
    <w:p>
      <w:r>
        <w:t>Krajowe przestrzenie danych dotyczących zamówień publicznych</w:t>
      </w:r>
    </w:p>
    <w:p>
      <w:r>
        <w:t>Polityka cyfrowa lub sektorowa</w:t>
      </w:r>
    </w:p>
    <w:p>
      <w:r>
        <w:t>Wyjaśnienie, w jaki sposób te polityki są zgodne</w:t>
      </w:r>
    </w:p>
    <w:p>
      <w:r>
        <w:t>(jeżeli mają zastosowanie)</w:t>
      </w:r>
    </w:p>
    <w:p>
      <w:r>
        <w:t>W odniesieniu do podstawowych zobowiązań prawnych nie przewiduje się podejmowania decyzji w oparciu o sztuczną inteligencję. W przypadku ryzyka zautomatyzowanego</w:t>
      </w:r>
    </w:p>
    <w:p>
      <w:r>
        <w:t>Wprowadza się wykrywanie, ranking, zalecenia lub analizę nadużyć finansowych w ramach aktu w sprawie sztucznej inteligencji, przeprowadza się ocenę ryzyka/zgodności z aktem w sprawie sztucznej inteligencji.</w:t>
      </w:r>
    </w:p>
    <w:p>
      <w:r>
        <w:t>Bez uszczerbku dla rozporządzenia (UE) 2016/679 państwa członkowskie zapewniają bezpieczeństwo,</w:t>
      </w:r>
    </w:p>
    <w:p>
      <w:r>
        <w:t>Integralność, autentyczność i poufność unijnych ram cyberbezpieczeństwa w odniesieniu do danych gromadzonych i przechowywanych do celów niniejszego rozporządzenia. Do uszczegółowienia w specyfikacjach technicznych.</w:t>
      </w:r>
    </w:p>
    <w:p>
      <w:r>
        <w:t>eIDAS eIDAS może nie mieć znaczenia dla identyfikacji, uwierzytelniania i wymiany poświadczeń.</w:t>
      </w:r>
    </w:p>
    <w:p>
      <w:r>
        <w:t>Jednolity portal cyfrowy i jednolity portal cyfrowy IMI oraz IMI nie są wykorzystywane jako kanały wdrażania na tym etapie.</w:t>
      </w:r>
    </w:p>
    <w:p>
      <w:r>
        <w:t>Inne//</w:t>
      </w:r>
    </w:p>
    <w:p>
      <w:r>
        <w:t>Przestrzeń danych dotyczących zamówień publicznych</w:t>
      </w:r>
    </w:p>
    <w:p>
      <w:r>
        <w:t>Polityka cyfrowa lub sektorowa</w:t>
      </w:r>
    </w:p>
    <w:p>
      <w:r>
        <w:t>Wyjaśnienie, w jaki sposób te polityki są zgodne</w:t>
      </w:r>
    </w:p>
    <w:p>
      <w:r>
        <w:t>(jeżeli mają zastosowanie)</w:t>
      </w:r>
    </w:p>
    <w:p>
      <w:pPr>
        <w:pStyle w:val="Heading1"/>
      </w:pPr>
      <w:r>
        <w:t>PL PL</w:t>
      </w:r>
    </w:p>
    <w:p>
      <w:r>
        <w:t>189</w:t>
      </w:r>
    </w:p>
    <w:p>
      <w:r>
        <w:t>W odniesieniu do podstawowych zobowiązań prawnych nie przewiduje się podejmowania decyzji w oparciu o sztuczną inteligencję. W przypadku ryzyka zautomatyzowanego</w:t>
      </w:r>
    </w:p>
    <w:p>
      <w:r>
        <w:t>Wprowadza się wykrywanie, ranking, zalecenia lub analizę nadużyć finansowych w ramach aktu w sprawie sztucznej inteligencji, przeprowadza się ocenę ryzyka/zgodności z aktem w sprawie sztucznej inteligencji.</w:t>
      </w:r>
    </w:p>
    <w:p>
      <w:r>
        <w:t>Bez uszczerbku dla rozporządzenia (UE) 2016/679 państwa członkowskie zapewniają bezpieczeństwo,</w:t>
      </w:r>
    </w:p>
    <w:p>
      <w:r>
        <w:t>Integralność, autentyczność i poufność unijnych ram cyberbezpieczeństwa w odniesieniu do danych gromadzonych i przechowywanych do celów niniejszego rozporządzenia. Do uszczegółowienia w specyfikacjach technicznych.</w:t>
      </w:r>
    </w:p>
    <w:p>
      <w:r>
        <w:t>eIDAS eIDAS może nie mieć znaczenia dla identyfikacji, uwierzytelniania i wymiany poświadczeń.</w:t>
      </w:r>
    </w:p>
    <w:p>
      <w:r>
        <w:t>Jednolity portal cyfrowy i jednolity portal cyfrowy IMI oraz IMI nie są wykorzystywane jako kanały wdrażania na tym etapie.</w:t>
      </w:r>
    </w:p>
    <w:p>
      <w:r>
        <w:t>Inne//</w:t>
      </w:r>
    </w:p>
    <w:p>
      <w:r>
        <w:t>4.4. Ocena interoperacyjności</w:t>
      </w:r>
    </w:p>
    <w:p>
      <w:r>
        <w:t>Opisać cyfrową(-e) usługę(-y) publiczną(-e), na którą(-e) mają wpływ wymogi</w:t>
      </w:r>
    </w:p>
    <w:p>
      <w:r>
        <w:t>Cyfrowa usługa publiczna</w:t>
      </w:r>
    </w:p>
    <w:p>
      <w:r>
        <w:t>Odniesienia do Interoperacyjnej Europy Inna interoperacyjność</w:t>
      </w:r>
    </w:p>
    <w:p>
      <w:r>
        <w:t>lub kategoria opisu cyfrowego</w:t>
      </w:r>
    </w:p>
    <w:p>
      <w:r>
        <w:t>rozwiązanie(-a) wymagające(-e)</w:t>
      </w:r>
    </w:p>
    <w:p>
      <w:r>
        <w:t>użyteczności publicznej</w:t>
      </w:r>
    </w:p>
    <w:p>
      <w:pPr>
        <w:pStyle w:val="Heading3"/>
        <w:jc w:val="center"/>
      </w:pPr>
      <w:r>
        <w:t>Sieć interoperacyjności</w:t>
      </w:r>
    </w:p>
    <w:p>
      <w:r>
        <w:t>będzie używane przez</w:t>
      </w:r>
    </w:p>
    <w:p>
      <w:r>
        <w:t>platformy e-zamówień</w:t>
      </w:r>
    </w:p>
    <w:p>
      <w:r>
        <w:t>Sieć interoperacyjności – art. 129, art. 129//</w:t>
      </w:r>
    </w:p>
    <w:p>
      <w:r>
        <w:t>wymiana danych ze wszystkimi innymi połączonymi platformami e-zamówień.</w:t>
      </w:r>
    </w:p>
    <w:p>
      <w:r>
        <w:t>platformy e-zamówień Wszystkie platformy wokół art. 131, art. 132 DCAT_AP//</w:t>
      </w:r>
    </w:p>
    <w:p>
      <w:pPr>
        <w:pStyle w:val="Heading1"/>
      </w:pPr>
      <w:r>
        <w:t>PL PL</w:t>
      </w:r>
    </w:p>
    <w:p>
      <w:r>
        <w:t>190</w:t>
      </w:r>
    </w:p>
    <w:p>
      <w:r>
        <w:t>Unia Europejska będzie podstawowymi słownikami</w:t>
      </w:r>
    </w:p>
    <w:p>
      <w:r>
        <w:t>wzajemnie połączone przez</w:t>
      </w:r>
    </w:p>
    <w:p>
      <w:r>
        <w:t>wdrażanie</w:t>
      </w:r>
    </w:p>
    <w:p>
      <w:r>
        <w:t>normy i</w:t>
      </w:r>
    </w:p>
    <w:p>
      <w:r>
        <w:t>wymiana danych za pośrednictwem sieci interoperacyjności.</w:t>
      </w:r>
    </w:p>
    <w:p>
      <w:pPr>
        <w:pStyle w:val="Heading3"/>
        <w:jc w:val="center"/>
      </w:pPr>
      <w:r>
        <w:t>Kwalifikowalność elektroniczna</w:t>
      </w:r>
    </w:p>
    <w:p>
      <w:r>
        <w:t>usługa będzie</w:t>
      </w:r>
    </w:p>
    <w:p>
      <w:r>
        <w:t>połączone z cyfryzacją</w:t>
      </w:r>
    </w:p>
    <w:p>
      <w:r>
        <w:t>Elektroniczne narzędzia do poświadczania kwalifikowalności przedsiębiorstw</w:t>
      </w:r>
    </w:p>
    <w:p>
      <w:r>
        <w:t>Artykuł 133 Słowniki podstawowe//</w:t>
      </w:r>
    </w:p>
    <w:p>
      <w:r>
        <w:t>świadczenie usług na rzecz wykonawców w celu udowodnienia, że spełniają oni przesłanki wykluczenia.</w:t>
      </w:r>
    </w:p>
    <w:p>
      <w:pPr>
        <w:pStyle w:val="Heading3"/>
        <w:jc w:val="center"/>
      </w:pPr>
      <w:r>
        <w:t>Przestrzeń danych dotyczących zamówień publicznych zgromadzi</w:t>
      </w:r>
    </w:p>
    <w:p>
      <w:r>
        <w:t>informacje o ogłoszeniu z</w:t>
      </w:r>
    </w:p>
    <w:p>
      <w:r>
        <w:t>DCAT_AP</w:t>
      </w:r>
    </w:p>
    <w:p>
      <w:r>
        <w:t>Zamówienia publiczne, art. 134, art.</w:t>
      </w:r>
    </w:p>
    <w:p>
      <w:r>
        <w:t>każda krajowa ontologia e-zamówień publicznych</w:t>
      </w:r>
    </w:p>
    <w:p>
      <w:r>
        <w:t>Przestrzeń danych 135, art. 138</w:t>
      </w:r>
    </w:p>
    <w:p>
      <w:r>
        <w:t>Podstawowe słowniki</w:t>
      </w:r>
    </w:p>
    <w:p>
      <w:pPr>
        <w:pStyle w:val="Heading3"/>
        <w:jc w:val="center"/>
      </w:pPr>
      <w:r>
        <w:t>Przestrzenie danych dotyczących zamówień publicznych za pośrednictwem</w:t>
      </w:r>
    </w:p>
    <w:p>
      <w:r>
        <w:t>Wymiana danych PPDS.</w:t>
      </w:r>
    </w:p>
    <w:p>
      <w:r>
        <w:t>Ocena wpływu wymogów na interoperacyjność transgraniczną</w:t>
      </w:r>
    </w:p>
    <w:p>
      <w:r>
        <w:t>Cyfrowa usługa publiczna #1: Sieć interoperacyjności</w:t>
      </w:r>
    </w:p>
    <w:p>
      <w:pPr>
        <w:pStyle w:val="Heading1"/>
      </w:pPr>
      <w:r>
        <w:t>PL PL</w:t>
      </w:r>
    </w:p>
    <w:p>
      <w:r>
        <w:t>191</w:t>
      </w:r>
    </w:p>
    <w:p>
      <w:r>
        <w:t>Potencjalne pozostałe bariery (jeżeli</w:t>
      </w:r>
    </w:p>
    <w:p>
      <w:r>
        <w:t>Środek(-ki) oceny</w:t>
      </w:r>
    </w:p>
    <w:p>
      <w:r>
        <w:t>przypadkach),</w:t>
      </w:r>
    </w:p>
    <w:p>
      <w:r>
        <w:t>Dostosowanie do kilku sektorów</w:t>
      </w:r>
    </w:p>
    <w:p>
      <w:r>
        <w:t>Dostosowanie do istniejących rozwiązań cyfrowych i</w:t>
      </w:r>
    </w:p>
    <w:p>
      <w:r>
        <w:t>Akt wykonawczy zapewni szczegółowe polityki, takie jak dyrektywa (UE)</w:t>
      </w:r>
    </w:p>
    <w:p>
      <w:r>
        <w:t>polityki sektorowe. Proszę wymienić</w:t>
      </w:r>
    </w:p>
    <w:p>
      <w:r>
        <w:t>dalszych informacji i będzie dotyczyć rozporządzenia (UE) 2019/1242 2023/1791,</w:t>
      </w:r>
    </w:p>
    <w:p>
      <w:r>
        <w:t>mające zastosowanie polityki cyfrowe i sektorowe</w:t>
      </w:r>
    </w:p>
    <w:p>
      <w:r>
        <w:t>dokumenty sektorowe. Rozporządzenie (UE) 2023/1542, rozporządzenie</w:t>
      </w:r>
    </w:p>
    <w:p>
      <w:r>
        <w:t>zidentyfikowany</w:t>
      </w:r>
    </w:p>
    <w:p>
      <w:r>
        <w:t>(UE) 2024/1781, dyrektywa 2009/33/WE</w:t>
      </w:r>
    </w:p>
    <w:p>
      <w:r>
        <w:t>Środki organizacyjne w celu zapewnienia sprawnego</w:t>
      </w:r>
    </w:p>
    <w:p>
      <w:r>
        <w:t>Główny akt prawny przewiduje zarządzanie</w:t>
      </w:r>
    </w:p>
    <w:p>
      <w:r>
        <w:t>transgraniczne cyfrowe usługi publiczne</w:t>
      </w:r>
    </w:p>
    <w:p>
      <w:r>
        <w:t>sieć interoperacyjności i dane PPDS</w:t>
      </w:r>
    </w:p>
    <w:p>
      <w:r>
        <w:t>dostawa. Proszę wymienić sposób zarządzania</w:t>
      </w:r>
    </w:p>
    <w:p>
      <w:r>
        <w:t>wymiana.</w:t>
      </w:r>
    </w:p>
    <w:p>
      <w:r>
        <w:t>przewidziane środki</w:t>
      </w:r>
    </w:p>
    <w:p>
      <w:r>
        <w:t>Duże, nieustrukturyzowane akta przetargowe.</w:t>
      </w:r>
    </w:p>
    <w:p>
      <w:r>
        <w:t>Usługa walidacji będzie wykorzystywana do:</w:t>
      </w:r>
    </w:p>
    <w:p>
      <w:r>
        <w:t>Różnice krajowe.</w:t>
      </w:r>
    </w:p>
    <w:p>
      <w:r>
        <w:t>Środki podjęte w celu zapewnienia wspólnego gromadzenia danych i ich publikacji</w:t>
      </w:r>
    </w:p>
    <w:p>
      <w:r>
        <w:t>zrozumienie danych. Proszę wymienić informacje w Suplemencie do</w:t>
      </w:r>
    </w:p>
    <w:p>
      <w:r>
        <w:t>Krajowa niechęć do dzielenia się informacjami niepublicznymi</w:t>
      </w:r>
    </w:p>
    <w:p>
      <w:r>
        <w:t>środki te Dziennik Urzędowy UE oraz</w:t>
      </w:r>
    </w:p>
    <w:p>
      <w:r>
        <w:t>dane dotyczące zamówień.</w:t>
      </w:r>
    </w:p>
    <w:p>
      <w:r>
        <w:t>PPD.</w:t>
      </w:r>
    </w:p>
    <w:p>
      <w:r>
        <w:t>Luki w jakości danych.</w:t>
      </w:r>
    </w:p>
    <w:p>
      <w:r>
        <w:t>Niejednorodne krajowe e-zamówienia</w:t>
      </w:r>
    </w:p>
    <w:p>
      <w:r>
        <w:t>Normy dotyczące platform zamówień publicznych.</w:t>
      </w:r>
    </w:p>
    <w:p>
      <w:r>
        <w:t>Stosowanie wspólnie uzgodnionych otwartych rozwiązań technicznych</w:t>
      </w:r>
    </w:p>
    <w:p>
      <w:r>
        <w:t>procedury i zamówienia publiczne</w:t>
      </w:r>
    </w:p>
    <w:p>
      <w:r>
        <w:t>specyfikacje i normy. Proszę wymienić niepewność co do technologii sieciowej</w:t>
      </w:r>
    </w:p>
    <w:p>
      <w:r>
        <w:t>szczegóły zostaną opracowane i</w:t>
      </w:r>
    </w:p>
    <w:p>
      <w:r>
        <w:t>wybór takich środków.</w:t>
      </w:r>
    </w:p>
    <w:p>
      <w:r>
        <w:t>wdrożone.</w:t>
      </w:r>
    </w:p>
    <w:p>
      <w:r>
        <w:t>Nierównomierna dojrzałość cyfrowa państw członkowskich.</w:t>
      </w:r>
    </w:p>
    <w:p>
      <w:r>
        <w:t>Cyfrowa usługa publiczna #2: Elektroniczna usługa kwalifikowalności</w:t>
      </w:r>
    </w:p>
    <w:p>
      <w:pPr>
        <w:pStyle w:val="Heading1"/>
      </w:pPr>
      <w:r>
        <w:t>PL PL</w:t>
      </w:r>
    </w:p>
    <w:p>
      <w:r>
        <w:t>192</w:t>
      </w:r>
    </w:p>
    <w:p>
      <w:r>
        <w:t>Potencjalne pozostałe bariery (jeżeli</w:t>
      </w:r>
    </w:p>
    <w:p>
      <w:r>
        <w:t>Środek(-ki) oceny</w:t>
      </w:r>
    </w:p>
    <w:p>
      <w:r>
        <w:t>przypadkach),</w:t>
      </w:r>
    </w:p>
    <w:p>
      <w:r>
        <w:t>Dostosowanie do kilku sektorów</w:t>
      </w:r>
    </w:p>
    <w:p>
      <w:r>
        <w:t>Dostosowanie do istniejących rozwiązań cyfrowych i</w:t>
      </w:r>
    </w:p>
    <w:p>
      <w:r>
        <w:t>Akt wykonawczy zapewni szczegółowe polityki, takie jak dyrektywa (UE)</w:t>
      </w:r>
    </w:p>
    <w:p>
      <w:r>
        <w:t>polityki sektorowe. Proszę wymienić</w:t>
      </w:r>
    </w:p>
    <w:p>
      <w:r>
        <w:t>dalszych informacji i będzie dotyczyć rozporządzenia (UE) 2019/1242 2023/1791,</w:t>
      </w:r>
    </w:p>
    <w:p>
      <w:r>
        <w:t>mające zastosowanie polityki cyfrowe i sektorowe</w:t>
      </w:r>
    </w:p>
    <w:p>
      <w:r>
        <w:t>dokumenty sektorowe. Rozporządzenie (UE) 2023/1542, rozporządzenie</w:t>
      </w:r>
    </w:p>
    <w:p>
      <w:r>
        <w:t>zidentyfikowany</w:t>
      </w:r>
    </w:p>
    <w:p>
      <w:r>
        <w:t>(UE) 2024/1781, dyrektywa 2009/33/WE</w:t>
      </w:r>
    </w:p>
    <w:p>
      <w:r>
        <w:t>Środki organizacyjne w celu zapewnienia sprawnego</w:t>
      </w:r>
    </w:p>
    <w:p>
      <w:r>
        <w:t>Główny akt prawny przewiduje zarządzanie</w:t>
      </w:r>
    </w:p>
    <w:p>
      <w:r>
        <w:t>transgraniczne cyfrowe usługi publiczne</w:t>
      </w:r>
    </w:p>
    <w:p>
      <w:r>
        <w:t>sieć interoperacyjności i dane PPDS</w:t>
      </w:r>
    </w:p>
    <w:p>
      <w:r>
        <w:t>dostawa. Proszę wymienić sposób zarządzania</w:t>
      </w:r>
    </w:p>
    <w:p>
      <w:r>
        <w:t>wymiana.</w:t>
      </w:r>
    </w:p>
    <w:p>
      <w:r>
        <w:t>przewidziane środki</w:t>
      </w:r>
    </w:p>
    <w:p>
      <w:r>
        <w:t>Duże, nieustrukturyzowane akta przetargowe.</w:t>
      </w:r>
    </w:p>
    <w:p>
      <w:r>
        <w:t>Różnice krajowe.</w:t>
      </w:r>
    </w:p>
    <w:p>
      <w:r>
        <w:t>Zastosowane zostaną środki mające na celu zapewnienie wspólnego narzędzia do cyfrowego poświadczenia oraz</w:t>
      </w:r>
    </w:p>
    <w:p>
      <w:r>
        <w:t>zrozumienie danych. Proszę wymienić powiązane z usługą kwalifikowalności:</w:t>
      </w:r>
    </w:p>
    <w:p>
      <w:r>
        <w:t>Krajowa niechęć do dzielenia się informacjami niepublicznymi</w:t>
      </w:r>
    </w:p>
    <w:p>
      <w:r>
        <w:t>takie środki zapewniają prawidłową wymianę danych.</w:t>
      </w:r>
    </w:p>
    <w:p>
      <w:r>
        <w:t>dane dotyczące zamówień.</w:t>
      </w:r>
    </w:p>
    <w:p>
      <w:r>
        <w:t>Luki w jakości danych.</w:t>
      </w:r>
    </w:p>
    <w:p>
      <w:r>
        <w:t>Niejednorodne krajowe e-zamówienia</w:t>
      </w:r>
    </w:p>
    <w:p>
      <w:r>
        <w:t>platformy.</w:t>
      </w:r>
    </w:p>
    <w:p>
      <w:r>
        <w:t>Stosowanie wspólnie uzgodnionych otwartych standardów technicznych w postępowaniach o udzielenie zamówienia</w:t>
      </w:r>
    </w:p>
    <w:p>
      <w:r>
        <w:t>specyfikacje i normy. Proszę wymienić, a szczegóły dotyczące zamówień publicznych będą niepewne w odniesieniu do technologii sieciowej</w:t>
      </w:r>
    </w:p>
    <w:p>
      <w:r>
        <w:t>takie środki zostały opracowane i wdrożone. Wybór.</w:t>
      </w:r>
    </w:p>
    <w:p>
      <w:r>
        <w:t>Nierównomierna dojrzałość cyfrowa państw członkowskich.</w:t>
      </w:r>
    </w:p>
    <w:p>
      <w:r>
        <w:t>Cyfrowa usługa publiczna #3: platformy e-zamówień</w:t>
      </w:r>
    </w:p>
    <w:p>
      <w:pPr>
        <w:pStyle w:val="Heading1"/>
      </w:pPr>
      <w:r>
        <w:t>PL PL</w:t>
      </w:r>
    </w:p>
    <w:p>
      <w:r>
        <w:t>193</w:t>
      </w:r>
    </w:p>
    <w:p>
      <w:r>
        <w:t>Potencjalne pozostałe bariery (jeżeli</w:t>
      </w:r>
    </w:p>
    <w:p>
      <w:r>
        <w:t>Środek(-ki) oceny</w:t>
      </w:r>
    </w:p>
    <w:p>
      <w:r>
        <w:t>przypadkach),</w:t>
      </w:r>
    </w:p>
    <w:p>
      <w:r>
        <w:t>Dostosowanie do kilku sektorów</w:t>
      </w:r>
    </w:p>
    <w:p>
      <w:r>
        <w:t>Dostosowanie do istniejących rozwiązań cyfrowych i</w:t>
      </w:r>
    </w:p>
    <w:p>
      <w:r>
        <w:t>Akt wykonawczy zapewni szczegółowe polityki, takie jak dyrektywa (UE)</w:t>
      </w:r>
    </w:p>
    <w:p>
      <w:r>
        <w:t>polityki sektorowe. Proszę wymienić</w:t>
      </w:r>
    </w:p>
    <w:p>
      <w:r>
        <w:t>dalszych informacji i będzie dotyczyć rozporządzenia (UE) 2019/1242 2023/1791,</w:t>
      </w:r>
    </w:p>
    <w:p>
      <w:r>
        <w:t>mające zastosowanie polityki cyfrowe i sektorowe</w:t>
      </w:r>
    </w:p>
    <w:p>
      <w:r>
        <w:t>dokumenty sektorowe. Rozporządzenie (UE) 2023/1542, rozporządzenie</w:t>
      </w:r>
    </w:p>
    <w:p>
      <w:r>
        <w:t>zidentyfikowany</w:t>
      </w:r>
    </w:p>
    <w:p>
      <w:r>
        <w:t>(UE) 2024/1781, dyrektywa 2009/33/WE</w:t>
      </w:r>
    </w:p>
    <w:p>
      <w:r>
        <w:t>Środki organizacyjne w celu zapewnienia sprawnego</w:t>
      </w:r>
    </w:p>
    <w:p>
      <w:r>
        <w:t>Główny akt prawny przewiduje zarządzanie</w:t>
      </w:r>
    </w:p>
    <w:p>
      <w:r>
        <w:t>transgraniczne cyfrowe usługi publiczne</w:t>
      </w:r>
    </w:p>
    <w:p>
      <w:r>
        <w:t>sieć interoperacyjności i dane PPDS</w:t>
      </w:r>
    </w:p>
    <w:p>
      <w:r>
        <w:t>dostawa. Proszę wymienić sposób zarządzania</w:t>
      </w:r>
    </w:p>
    <w:p>
      <w:r>
        <w:t>wymiana.</w:t>
      </w:r>
    </w:p>
    <w:p>
      <w:r>
        <w:t>przewidziane środki</w:t>
      </w:r>
    </w:p>
    <w:p>
      <w:r>
        <w:t>Duże, nieustrukturyzowane akta przetargowe.</w:t>
      </w:r>
    </w:p>
    <w:p>
      <w:r>
        <w:t>Różnice krajowe.</w:t>
      </w:r>
    </w:p>
    <w:p>
      <w:r>
        <w:t>Środki podjęte w celu zapewnienia wspólnych norm dotyczących postępowań o udzielenie zamówienia</w:t>
      </w:r>
    </w:p>
    <w:p>
      <w:r>
        <w:t>zrozumienie danych. Proszę wymienić i podać szczegółowe informacje dotyczące zamówień publicznych</w:t>
      </w:r>
    </w:p>
    <w:p>
      <w:r>
        <w:t>Krajowa niechęć do dzielenia się informacjami niepublicznymi</w:t>
      </w:r>
    </w:p>
    <w:p>
      <w:r>
        <w:t>takie środki zostały opracowane i wdrożone.</w:t>
      </w:r>
    </w:p>
    <w:p>
      <w:r>
        <w:t>dane dotyczące zamówień.</w:t>
      </w:r>
    </w:p>
    <w:p>
      <w:r>
        <w:t>Luki w jakości danych.</w:t>
      </w:r>
    </w:p>
    <w:p>
      <w:r>
        <w:t>Niejednorodne krajowe e-zamówienia</w:t>
      </w:r>
    </w:p>
    <w:p>
      <w:r>
        <w:t>platformy.</w:t>
      </w:r>
    </w:p>
    <w:p>
      <w:r>
        <w:t>Stosowanie wspólnie uzgodnionych otwartych standardów technicznych w postępowaniach o udzielenie zamówienia</w:t>
      </w:r>
    </w:p>
    <w:p>
      <w:r>
        <w:t>specyfikacje i normy. Proszę wymienić, a szczegóły dotyczące zamówień publicznych będą niepewne w odniesieniu do technologii sieciowej</w:t>
      </w:r>
    </w:p>
    <w:p>
      <w:r>
        <w:t>takie środki zostały opracowane i wdrożone. Wybór.</w:t>
      </w:r>
    </w:p>
    <w:p>
      <w:r>
        <w:t>Nierównomierna dojrzałość cyfrowa państw członkowskich.</w:t>
      </w:r>
    </w:p>
    <w:p>
      <w:r>
        <w:t>Cyfrowa usługa publiczna #4: Przestrzeń danych dotyczących zamówień publicznych</w:t>
      </w:r>
    </w:p>
    <w:p>
      <w:pPr>
        <w:pStyle w:val="Heading1"/>
      </w:pPr>
      <w:r>
        <w:t>PL PL</w:t>
      </w:r>
    </w:p>
    <w:p>
      <w:r>
        <w:t>194</w:t>
      </w:r>
    </w:p>
    <w:p>
      <w:r>
        <w:t>Potencjalne pozostałe bariery (jeżeli</w:t>
      </w:r>
    </w:p>
    <w:p>
      <w:r>
        <w:t>Środek(-ki) oceny</w:t>
      </w:r>
    </w:p>
    <w:p>
      <w:r>
        <w:t>przypadkach),</w:t>
      </w:r>
    </w:p>
    <w:p>
      <w:r>
        <w:t>Dostosowanie do kilku sektorów</w:t>
      </w:r>
    </w:p>
    <w:p>
      <w:r>
        <w:t>Dostosowanie do istniejących rozwiązań cyfrowych i</w:t>
      </w:r>
    </w:p>
    <w:p>
      <w:r>
        <w:t>Akt wykonawczy zapewni szczegółowe polityki, takie jak dyrektywa (UE)</w:t>
      </w:r>
    </w:p>
    <w:p>
      <w:r>
        <w:t>polityki sektorowe. Proszę wymienić</w:t>
      </w:r>
    </w:p>
    <w:p>
      <w:r>
        <w:t>dalsze informacje i będzie dotyczyć 2023/1791,rozporządzenie (UE) 2019/1242,</w:t>
      </w:r>
    </w:p>
    <w:p>
      <w:r>
        <w:t>mające zastosowanie polityki cyfrowe i sektorowe</w:t>
      </w:r>
    </w:p>
    <w:p>
      <w:r>
        <w:t>dokumenty sektorowe. Rozporządzenie (UE) 2023/1542, rozporządzenie</w:t>
      </w:r>
    </w:p>
    <w:p>
      <w:r>
        <w:t>zidentyfikowany</w:t>
      </w:r>
    </w:p>
    <w:p>
      <w:r>
        <w:t>(UE) 2024/1781,dyrektywa 2009/33/WE</w:t>
      </w:r>
    </w:p>
    <w:p>
      <w:r>
        <w:t>Środki organizacyjne w celu zapewnienia sprawnego</w:t>
      </w:r>
    </w:p>
    <w:p>
      <w:r>
        <w:t>Główny akt prawny przewiduje zarządzanie</w:t>
      </w:r>
    </w:p>
    <w:p>
      <w:r>
        <w:t>transgraniczne cyfrowe usługi publiczne</w:t>
      </w:r>
    </w:p>
    <w:p>
      <w:r>
        <w:t>sieć interoperacyjności i dane PPDS</w:t>
      </w:r>
    </w:p>
    <w:p>
      <w:r>
        <w:t>dostawa. Proszę wymienić sposób zarządzania</w:t>
      </w:r>
    </w:p>
    <w:p>
      <w:r>
        <w:t>wymiana.</w:t>
      </w:r>
    </w:p>
    <w:p>
      <w:r>
        <w:t>przewidziane środki</w:t>
      </w:r>
    </w:p>
    <w:p>
      <w:r>
        <w:t>Duże, nieustrukturyzowane akta przetargowe.</w:t>
      </w:r>
    </w:p>
    <w:p>
      <w:r>
        <w:t>Usługa walidacji będzie wykorzystywana do:</w:t>
      </w:r>
    </w:p>
    <w:p>
      <w:r>
        <w:t>Różnice krajowe.</w:t>
      </w:r>
    </w:p>
    <w:p>
      <w:r>
        <w:t>Środki podjęte w celu zapewnienia wspólnego gromadzenia danych i ich publikacji</w:t>
      </w:r>
    </w:p>
    <w:p>
      <w:r>
        <w:t>zrozumienie danych. Proszę wymienić informacje w Suplemencie do</w:t>
      </w:r>
    </w:p>
    <w:p>
      <w:r>
        <w:t>Krajowa niechęć do dzielenia się informacjami niepublicznymi</w:t>
      </w:r>
    </w:p>
    <w:p>
      <w:r>
        <w:t>środki te Dziennik Urzędowy UE oraz</w:t>
      </w:r>
    </w:p>
    <w:p>
      <w:r>
        <w:t>dane dotyczące zamówień.</w:t>
      </w:r>
    </w:p>
    <w:p>
      <w:r>
        <w:t>PPD.</w:t>
      </w:r>
    </w:p>
    <w:p>
      <w:r>
        <w:t>Luki w jakości danych.</w:t>
      </w:r>
    </w:p>
    <w:p>
      <w:r>
        <w:t>Niejednorodne krajowe e-zamówienia</w:t>
      </w:r>
    </w:p>
    <w:p>
      <w:r>
        <w:t>platformy.</w:t>
      </w:r>
    </w:p>
    <w:p>
      <w:r>
        <w:t>Stosowanie wspólnie uzgodnionych otwartych standardów technicznych w postępowaniach o udzielenie zamówienia</w:t>
      </w:r>
    </w:p>
    <w:p>
      <w:r>
        <w:t>specyfikacje i normy. Proszę wymienić, a szczegóły dotyczące zamówień publicznych będą niepewne w odniesieniu do technologii sieciowej</w:t>
      </w:r>
    </w:p>
    <w:p>
      <w:r>
        <w:t>takie środki zostały opracowane i wdrożone. Wybór.</w:t>
      </w:r>
    </w:p>
    <w:p>
      <w:r>
        <w:t>Nierównomierna dojrzałość cyfrowa państw członkowskich.</w:t>
      </w:r>
    </w:p>
    <w:p>
      <w:pPr>
        <w:pStyle w:val="Heading1"/>
      </w:pPr>
      <w:r>
        <w:t>PL PL</w:t>
      </w:r>
    </w:p>
    <w:p>
      <w:r>
        <w:t>195</w:t>
      </w:r>
    </w:p>
    <w:p>
      <w:r>
        <w:t>4.5. Środki wspierające cyfrowe wdrażanie</w:t>
      </w:r>
    </w:p>
    <w:p>
      <w:r>
        <w:t>Proszę wypełnić poniższą tabelę dla każdego środka wspierającego wdrażanie cyfrowe</w:t>
      </w:r>
    </w:p>
    <w:p>
      <w:r>
        <w:t>E x p e c t e d</w:t>
      </w:r>
    </w:p>
    <w:p>
      <w:r>
        <w:t>T i</w:t>
      </w:r>
    </w:p>
    <w:p>
      <w:r>
        <w:t>Podmioty, które należy</w:t>
      </w:r>
    </w:p>
    <w:p>
      <w:r>
        <w:t>m</w:t>
      </w:r>
    </w:p>
    <w:p>
      <w:r>
        <w:t>Odniesienie(-a) do</w:t>
      </w:r>
    </w:p>
    <w:p>
      <w:r>
        <w:t>Opis środka Zaangażowana rola Komisji (w stosownych przypadkach) (jeżeli</w:t>
      </w:r>
    </w:p>
    <w:p>
      <w:r>
        <w:t>e</w:t>
      </w:r>
    </w:p>
    <w:p>
      <w:r>
        <w:t>wymagania</w:t>
      </w:r>
    </w:p>
    <w:p>
      <w:r>
        <w:t>przypadkach),</w:t>
      </w:r>
    </w:p>
    <w:p>
      <w:r>
        <w:t>L i n e</w:t>
      </w:r>
    </w:p>
    <w:p>
      <w:r>
        <w:t>(i f p p l</w:t>
      </w:r>
    </w:p>
    <w:p>
      <w:pPr>
        <w:pStyle w:val="Heading1"/>
      </w:pPr>
      <w:r>
        <w:t>PL PL</w:t>
      </w:r>
    </w:p>
    <w:p>
      <w:r>
        <w:t>196</w:t>
      </w:r>
    </w:p>
    <w:p>
      <w:r>
        <w:t>i c a b l e)</w:t>
      </w:r>
    </w:p>
    <w:p>
      <w:r>
        <w:t>Komisja przyjmuje akty delegowane w celu przyjęcia przez Komisję:</w:t>
      </w:r>
    </w:p>
    <w:p>
      <w:r>
        <w:t>Artykuł 128 ust. 2 Komisja</w:t>
      </w:r>
    </w:p>
    <w:p>
      <w:r>
        <w:t>ustanowić lub wyznaczyć takie akty/</w:t>
      </w:r>
    </w:p>
    <w:p>
      <w:r>
        <w:t>sieć interoperacyjności.</w:t>
      </w:r>
    </w:p>
    <w:p>
      <w:r>
        <w:t>Komisja jest uprawniona do przyjmowania aktów wykonawczych określających szczegóły. Komisja jest uprawniona/</w:t>
      </w:r>
    </w:p>
    <w:p>
      <w:r>
        <w:t>Artykuł 128 ust. 3 Komisja</w:t>
      </w:r>
    </w:p>
    <w:p>
      <w:r>
        <w:t>ustalenia dotyczące przyjmowania takich aktów/</w:t>
      </w:r>
    </w:p>
    <w:p>
      <w:r>
        <w:t>wdrożenie i funkcjonowanie sieci interoperacyjności.</w:t>
      </w:r>
    </w:p>
    <w:p>
      <w:r>
        <w:t>Komisja może przyjmować akty wykonawcze ustanawiające wspólne specyfikacje obejmujące:</w:t>
      </w:r>
    </w:p>
    <w:p>
      <w:r>
        <w:t>Komisja może przyjąć takie/</w:t>
      </w:r>
    </w:p>
    <w:p>
      <w:r>
        <w:t>zasadnicze wymogi dotyczące art. 130 ust. 2 Komisja</w:t>
      </w:r>
    </w:p>
    <w:p>
      <w:r>
        <w:t>akty/</w:t>
      </w:r>
    </w:p>
    <w:p>
      <w:r>
        <w:t>semantyczny model danych podstawowych elementów postępowań o udzielenie zamówienia.</w:t>
      </w:r>
    </w:p>
    <w:p>
      <w:r>
        <w:t>Komisja posiada uprawnienia na mocy art. 133 ust. 3. Komisja posiada uprawnienia na mocy art. 133 ust. 3.</w:t>
      </w:r>
    </w:p>
    <w:p>
      <w:r>
        <w:t>/</w:t>
      </w:r>
    </w:p>
    <w:p>
      <w:pPr>
        <w:pStyle w:val="Heading1"/>
      </w:pPr>
      <w:r>
        <w:t>PL PL</w:t>
      </w:r>
    </w:p>
    <w:p>
      <w:r>
        <w:t>197</w:t>
      </w:r>
    </w:p>
    <w:p>
      <w:r>
        <w:t>do przyjmowania aktów delegowanych określających warunki przyjmowania takich aktów/</w:t>
      </w:r>
    </w:p>
    <w:p>
      <w:r>
        <w:t>ustanowienie szczegółowych zasad zarządzania elektroniczną usługą kwalifikowalności oraz wyznaczenie narzędzia cyfrowych poświadczeń biznesowych i powiązanej sieci, które mają być wykorzystywane przez wykonawcy do celów określania kwalifikowalności.</w:t>
      </w:r>
    </w:p>
    <w:p>
      <w:r>
        <w:t>Komisja jest uprawniona do przyjmowania aktów wykonawczych</w:t>
      </w:r>
    </w:p>
    <w:p>
      <w:r>
        <w:t>Komisja jest upoważniona/</w:t>
      </w:r>
    </w:p>
    <w:p>
      <w:r>
        <w:t>określająca techniczny charakter art. 133 ust. 6 Komisja</w:t>
      </w:r>
    </w:p>
    <w:p>
      <w:r>
        <w:t>przyjęcia takich aktów/</w:t>
      </w:r>
    </w:p>
    <w:p>
      <w:r>
        <w:t>ustalenia dotyczące elektronicznej usługi kwalifikowalności.</w:t>
      </w:r>
    </w:p>
    <w:p>
      <w:r>
        <w:t>Komisja jest uprawniona do przyjmowania aktów delegowanych</w:t>
      </w:r>
    </w:p>
    <w:p>
      <w:r>
        <w:t>Komisja jest upoważniona/</w:t>
      </w:r>
    </w:p>
    <w:p>
      <w:r>
        <w:t>akty doprecyzowujące inne kategorie Artykuł 134 ust. 7 Komisja</w:t>
      </w:r>
    </w:p>
    <w:p>
      <w:r>
        <w:t>przyjęcia takich aktów/</w:t>
      </w:r>
    </w:p>
    <w:p>
      <w:r>
        <w:t>informacji o zamówieniach, które mają być udostępniane NPPDS.</w:t>
      </w:r>
    </w:p>
    <w:p>
      <w:r>
        <w:t>Komisja jest uprawniona do przyjmowania aktów wykonawczych określających zamówienia</w:t>
      </w:r>
    </w:p>
    <w:p>
      <w:r>
        <w:t>Komisja jest upoważniona/</w:t>
      </w:r>
    </w:p>
    <w:p>
      <w:r>
        <w:t>Artykuł 134 ust. 8 Komisja</w:t>
      </w:r>
    </w:p>
    <w:p>
      <w:r>
        <w:t>informacje, które należy przekazać</w:t>
      </w:r>
    </w:p>
    <w:p>
      <w:r>
        <w:t>przyjęcia takich aktów/</w:t>
      </w:r>
    </w:p>
    <w:p>
      <w:r>
        <w:t>dostępne za pośrednictwem NPPDS, a także jej format techniczny, wyznaczenie i warunki</w:t>
      </w:r>
    </w:p>
    <w:p>
      <w:pPr>
        <w:pStyle w:val="Heading1"/>
      </w:pPr>
      <w:r>
        <w:t>PL PL</w:t>
      </w:r>
    </w:p>
    <w:p>
      <w:r>
        <w:t>198</w:t>
      </w:r>
    </w:p>
    <w:p>
      <w:r>
        <w:t>takie wyznaczenie konkretnych informacji o zamówieniach jako publicznie dostępnych lub niedostępnych publicznie informacji o zamówieniach oraz wskazanie źródła technicznych wymogów walidacyjnych.</w:t>
      </w:r>
    </w:p>
    <w:p>
      <w:r>
        <w:t>Komisja jest uprawniona do przyjmowania aktów wykonawczych określających informacje dotyczące zamówień, które państwa członkowskie przekazują za pośrednictwem PPDS, w tym PPDS. Komisja jest uprawniona/</w:t>
      </w:r>
    </w:p>
    <w:p>
      <w:r>
        <w:t>Artykuł 135 ust. 3 Komisja</w:t>
      </w:r>
    </w:p>
    <w:p>
      <w:r>
        <w:t>format techniczny, minimum do przyjęcia takich aktów/</w:t>
      </w:r>
    </w:p>
    <w:p>
      <w:r>
        <w:t>warunki publikacji</w:t>
      </w:r>
    </w:p>
    <w:p>
      <w:r>
        <w:t>informacje dotyczące zamówień publicznych nie</w:t>
      </w:r>
    </w:p>
    <w:p>
      <w:r>
        <w:t>wyznaczone jako publicznie dostępne oraz źródło technicznych wymogów walidacyjnych.</w:t>
      </w:r>
    </w:p>
    <w:p>
      <w:r>
        <w:t>Komisja może przyjmować akty wykonawcze określające:</w:t>
      </w:r>
    </w:p>
    <w:p>
      <w:r>
        <w:t>Komisja może przyjąć takie/</w:t>
      </w:r>
    </w:p>
    <w:p>
      <w:r>
        <w:t>po wykonaniu art. 136 ust. 2 Komisja</w:t>
      </w:r>
    </w:p>
    <w:p>
      <w:r>
        <w:t>akty/</w:t>
      </w:r>
    </w:p>
    <w:p>
      <w:r>
        <w:t>ustalenia dotyczące danych</w:t>
      </w:r>
    </w:p>
    <w:p>
      <w:r>
        <w:t>wymiany zgodnie z prawem Unii.</w:t>
      </w:r>
    </w:p>
    <w:p>
      <w:pPr>
        <w:pStyle w:val="Heading1"/>
      </w:pPr>
      <w:r>
        <w:t>PL PL</w:t>
      </w:r>
    </w:p>
    <w:p>
      <w:r>
        <w:t>199</w:t>
      </w:r>
    </w:p>
    <w:p>
      <w:r>
        <w:rPr>
          <w:sz w:val="16"/>
        </w:rPr>
        <w:t>1 https://commission.europa.eu/topics/competitiveness/draghi-report_en.</w:t>
      </w:r>
    </w:p>
    <w:p>
      <w:r>
        <w:rPr>
          <w:sz w:val="16"/>
        </w:rPr>
        <w:t>2 consilium.europa.eu/media/ny3j24sm/much-more-than-a-market-report-by-enrico-letta.pdf.</w:t>
      </w:r>
    </w:p>
    <w:p>
      <w:r>
        <w:rPr>
          <w:sz w:val="16"/>
        </w:rPr>
        <w:t>3 https://commission.europa.eu/topics/competitiveness/clean-industrial-deal_en.</w:t>
      </w:r>
    </w:p>
    <w:p>
      <w:r>
        <w:rPr>
          <w:sz w:val="16"/>
        </w:rPr>
        <w:t>4 https://commission.europa.eu/topics/competitiveness/competitiveness-compass_en.</w:t>
      </w:r>
    </w:p>
    <w:p>
      <w:r>
        <w:rPr>
          <w:sz w:val="16"/>
        </w:rPr>
        <w:t>5 Sprawozdanie specjalne z 2023 r. dotyczące zamówień publicznych w UE https://www.eca.europa.eu/en/publications?ref=SR-2023-28.</w:t>
      </w:r>
    </w:p>
    <w:p>
      <w:r>
        <w:rPr>
          <w:sz w:val="16"/>
        </w:rPr>
        <w:t>6 consilium.europa.eu/en/press/press-releases/2024/05/24/council-adopts-conclusions-on-the-court-of- auditors-report-on-public-procurement/pdf/.</w:t>
      </w:r>
    </w:p>
    <w:p>
      <w:r>
        <w:rPr>
          <w:sz w:val="16"/>
        </w:rPr>
        <w:t>7 https://www.europarl.europa.eu/doceo/document/TA-10-2025-0174_EN.pdf.</w:t>
      </w:r>
    </w:p>
    <w:p>
      <w:r>
        <w:rPr>
          <w:sz w:val="16"/>
        </w:rPr>
        <w:t>8 https://data.europa.eu/doi/10.2863/0379789.</w:t>
      </w:r>
    </w:p>
    <w:p>
      <w:r>
        <w:rPr>
          <w:sz w:val="16"/>
        </w:rPr>
        <w:t>9 https://www.eesc.europa.eu/en/our-work/opinions-information-reports/opinions/review-european- Publiczno-zamówienia-ramy prawne.</w:t>
      </w:r>
    </w:p>
    <w:p>
      <w:r>
        <w:rPr>
          <w:sz w:val="16"/>
        </w:rPr>
        <w:t>10 https://commission.europa.eu/publications/simpler-clearer-and-better-enforced-eu-rulebook_en.</w:t>
      </w:r>
    </w:p>
    <w:p>
      <w:r>
        <w:rPr>
          <w:sz w:val="16"/>
        </w:rPr>
        <w:t>11 Sprawa C-652/22, Kolin İnİaat Turizm Sanayi ve Ticaret Aű przeciwko Państwowej Komisji Nadzoru nad Procedurami Zamówień Publicznych; Sprawa C-266/22, CRRC Qingdao Sifang Co. Ltd i Astra Vagoane Călători SA przeciwko Autoritatea pentru Reformă Feroviară i Alstom Ferroviaria SpA.</w:t>
      </w:r>
    </w:p>
    <w:p>
      <w:r>
        <w:rPr>
          <w:sz w:val="16"/>
        </w:rPr>
        <w:t>12 Różnica w kosztach przedstawiona w ocenie skutków finansowych regulacji i w ocenie skutków wynika z faktu, że ocena skutków finansowych regulacji obejmuje wszystkie koszty, podczas gdy ocena skutków uwzględnia jedynie dodatkowe koszty wprowadzone w ramach środków z zakresu polityki oprócz tzw. zwykłych kosztów. Istnieją również niewielkie różnice w klasyfikacji i prezentacji kosztów wynikające z wymogów rozporządzenia finansowego.</w:t>
      </w:r>
    </w:p>
    <w:p>
      <w:r>
        <w:rPr>
          <w:sz w:val="16"/>
        </w:rPr>
        <w:t>13 Rozporządzenie Parlamentu Europejskiego i Rady (UE) 2024/1252 z dnia 11 kwietnia 2024 r. w sprawie ustanowienia ram na potrzeby zapewnienia bezpiecznych i zrównoważonych dostaw surowców krytycznych oraz zmiany rozporządzeń (UE) nr 168/2013, (UE) 2018/858, (UE) 2018/1724 i (UE) 2019/1020 (Dz.U. L, 2024/1252, 3.5.2024, ELI: http://data.europa.eu/eli/reg/2024/1252/oj).</w:t>
      </w:r>
    </w:p>
    <w:p>
      <w:r>
        <w:rPr>
          <w:sz w:val="16"/>
        </w:rPr>
        <w:t>14 Rozporządzenie Parlamentu Europejskiego i Rady (UE) 2024/1735 z dnia 13 czerwca 2024 r. w sprawie ustanowienia ram środków na rzecz wzmocnienia europejskiego ekosystemu produkcji technologii neutralnych emisyjnie i zmieniające rozporządzenie (Dz.U. L, 2024/1735, 28.6.2024, ELI: http://data.europa.eu/eli/reg/2024/1735/oj).</w:t>
      </w:r>
    </w:p>
    <w:p>
      <w:r>
        <w:rPr>
          <w:sz w:val="16"/>
        </w:rPr>
        <w:t>15 Rozporządzenie Parlamentu Europejskiego i Rady (UE) 2024/1781 z dnia 13 czerwca 2024 r. w sprawie ustanowienia ram ustalania wymogów ekoprojektu w odniesieniu do zrównoważonych produktów oraz zmiany dyrektywy (UE) 2020/1828 i rozporządzenia (UE) 2023/1542 i uchylenia dyrektywy 2009/125/WE (Dz.U. L, 2024/1781, 28.6.2024, ELI: http://data.europa.eu/eli/reg/2024/1781/oj).</w:t>
      </w:r>
    </w:p>
    <w:p>
      <w:pPr>
        <w:pStyle w:val="Heading1"/>
      </w:pPr>
      <w:r>
        <w:t>ZAŁĄCZNIK I</w:t>
      </w:r>
    </w:p>
    <w:p>
      <w:pPr>
        <w:pStyle w:val="Heading3"/>
        <w:jc w:val="center"/>
      </w:pPr>
      <w:r>
        <w:t>Centralne organy rządowe</w:t>
      </w:r>
    </w:p>
    <w:p>
      <w:r>
        <w:t>(1) BELGIUM</w:t>
      </w:r>
    </w:p>
    <w:p>
      <w:r>
        <w:t>a) Services publics fédéraux (Ministries) – Federale Overheidsdiensten (Ministries):</w:t>
      </w:r>
    </w:p>
    <w:p>
      <w:r>
        <w:t>a) SPF Chancellerie du Premier Ministre – FOD Kanselarij van de Eerste Minister;</w:t>
      </w:r>
    </w:p>
    <w:p>
      <w:r>
        <w:t>b) SPF Personnel et Organisation – FOD Kanselarij Personeel en Organisatie;</w:t>
      </w:r>
    </w:p>
    <w:p>
      <w:r>
        <w:t>c) SPF Budget et Contrôle de la Gestion – FOD Budget en Beheerscontrole;</w:t>
      </w:r>
    </w:p>
    <w:p>
      <w:r>
        <w:t>d) SPF Technologie de l’Information et de la Communication (Fedict) – FOD Informatie- en Communicatietechnologie (Fedict);</w:t>
      </w:r>
    </w:p>
    <w:p>
      <w:r>
        <w:t>e) SPF Affaires étrangères, Commerce extérieur et Coopération au Développement – FOD Buitenlandse Zaken, Buitenlandse Handel en Ontwikkelingssamenwerking;</w:t>
      </w:r>
    </w:p>
    <w:p>
      <w:r>
        <w:t>f) SPF Intérieur – FOD Binnenlandse Zaken;</w:t>
      </w:r>
    </w:p>
    <w:p>
      <w:r>
        <w:t>g) SPF Finances – FOD Financiën;</w:t>
      </w:r>
    </w:p>
    <w:p>
      <w:r>
        <w:t>h) SPF Mobilité et Transports – FOD Mobiliteit en Vervoer;</w:t>
      </w:r>
    </w:p>
    <w:p>
      <w:r>
        <w:t>i) SPF Emploi, Travail et Concertation sociale – FOD Werkgelegenheid, Arbeid en sociaal overleg;</w:t>
      </w:r>
    </w:p>
    <w:p>
      <w:r>
        <w:t>j) SPF Sécurité Sociale et Institutions publiques de Sécurité Sociale – FOD Sociale Zekerheid en Openbare Instellingen van sociale Zekerheid;</w:t>
      </w:r>
    </w:p>
    <w:p>
      <w:r>
        <w:t>k) SPF Santé publique, Sécurité de la Chaîne alimentaire et Environnement</w:t>
      </w:r>
    </w:p>
    <w:p>
      <w:r>
        <w:t>– FOD Volksgezondheid, Veiligheid van de Voedselketen en Leefmilieu;</w:t>
      </w:r>
    </w:p>
    <w:p>
      <w:r>
        <w:t>l) SPF Justice – FOD Justitie;</w:t>
      </w:r>
    </w:p>
    <w:p>
      <w:r>
        <w:t>(m)SPF Economie, PME, Classes moyennes et Energie – FOD Economie,</w:t>
      </w:r>
    </w:p>
    <w:p>
      <w:r>
        <w:t>KMO, Middenstand en Energie;</w:t>
      </w:r>
    </w:p>
    <w:p>
      <w:r>
        <w:t>n) Ministère de la Défense – Ministerie van Landsverdediging;</w:t>
      </w:r>
    </w:p>
    <w:p>
      <w:r>
        <w:t>o) Service public de programmation Intégration sociale, Lutte contre la pauvreté et Economie sociale – Programmatorische Overheidsdienst Maatschappelijke Integratie, Armoedsbestrijding en sociale Economie;</w:t>
      </w:r>
    </w:p>
    <w:p>
      <w:r>
        <w:t>p) Service public fédéral de Programmation Développement durable – Programmatorische federale Overheidsdienst Duurzame Ontwikkeling;</w:t>
      </w:r>
    </w:p>
    <w:p>
      <w:r>
        <w:t>q) Service public fédéral de Programmation Politique scientifique – Programmatorische federale Overheidsdienst Wetenschapsbeleid;</w:t>
      </w:r>
    </w:p>
    <w:p>
      <w:r>
        <w:t>b) Régie des Bâtiments – Regie der Gebouwen:</w:t>
      </w:r>
    </w:p>
    <w:p>
      <w:r>
        <w:t>a) Office national de Sécurité sociale – Rijksdienst voor sociale Zekerheid;</w:t>
      </w:r>
    </w:p>
    <w:p>
      <w:r>
        <w:t>b) Institut national d’Assurance sociales pour travailleurs – Rijksinstituut voor de sociale Verzekeringen der Zelfindépendants standigen;</w:t>
      </w:r>
    </w:p>
    <w:p>
      <w:r>
        <w:t>c) Institut national d’Assurance Maladie-Invalidité – Rijksinstituut voor Ziekte- en Invaliditeitsverzekering;</w:t>
      </w:r>
    </w:p>
    <w:p>
      <w:r>
        <w:t>d) Office national des Pensions – Rijksdienst voor Pensioenen;</w:t>
      </w:r>
    </w:p>
    <w:p>
      <w:r>
        <w:t>e) Caisse auxiliaire d’Assurance Maladie-Invalidité – Hulpkas voor Ziekte-en Invaliditeitsverzekering;</w:t>
      </w:r>
    </w:p>
    <w:p>
      <w:r>
        <w:t>f) Fond des Maladies professionnelles – Fonds voor Beroepsziekten;</w:t>
      </w:r>
    </w:p>
    <w:p>
      <w:r>
        <w:t>g) Office national de l’Emploi – Rijksdienst voor Arbeidsvoorzienin.</w:t>
      </w:r>
    </w:p>
    <w:p>
      <w:r>
        <w:t>(2) BULGARIA</w:t>
      </w:r>
    </w:p>
    <w:p>
      <w:r>
        <w:t>a) Администрация на Народното събрание;</w:t>
      </w:r>
    </w:p>
    <w:p>
      <w:r>
        <w:t>b) Aдминистрация на Президента Администрация на;</w:t>
      </w:r>
    </w:p>
    <w:p>
      <w:r>
        <w:t>c) Министерския съвет;</w:t>
      </w:r>
    </w:p>
    <w:p>
      <w:r>
        <w:t>d) Конституционен съд;</w:t>
      </w:r>
    </w:p>
    <w:p>
      <w:r>
        <w:t>e) Българска народна банка;</w:t>
      </w:r>
    </w:p>
    <w:p>
      <w:r>
        <w:t>f) Министерство на външните работи;</w:t>
      </w:r>
    </w:p>
    <w:p>
      <w:r>
        <w:t>g) Министерство на вътрешните работи;</w:t>
      </w:r>
    </w:p>
    <w:p>
      <w:r>
        <w:t>h) Министерство на държавната администрация и административната реформа;</w:t>
      </w:r>
    </w:p>
    <w:p>
      <w:r>
        <w:t>i) Министерство на извънредните ситуации;</w:t>
      </w:r>
    </w:p>
    <w:p>
      <w:r>
        <w:t>j) Министерство на земеделието и храните;</w:t>
      </w:r>
    </w:p>
    <w:p>
      <w:r>
        <w:t>k) Министерство на здравеопазването;</w:t>
      </w:r>
    </w:p>
    <w:p>
      <w:r>
        <w:t>l) Министерство на икономиката и енергетиката;</w:t>
      </w:r>
    </w:p>
    <w:p>
      <w:r>
        <w:t>(m)Министерство на културата;</w:t>
      </w:r>
    </w:p>
    <w:p>
      <w:r>
        <w:t>n) Министерство на образованието и науката;</w:t>
      </w:r>
    </w:p>
    <w:p>
      <w:r>
        <w:t>o) Министерство на околната среда и водите;</w:t>
      </w:r>
    </w:p>
    <w:p>
      <w:r>
        <w:t>p) Министерство на отбраната;</w:t>
      </w:r>
    </w:p>
    <w:p>
      <w:r>
        <w:t>q) Министерство на правосъдието;</w:t>
      </w:r>
    </w:p>
    <w:p>
      <w:r>
        <w:t>r) Министерство на регионалното развитие и благоустройството;</w:t>
      </w:r>
    </w:p>
    <w:p>
      <w:r>
        <w:t>s) Министерство на транспорта;</w:t>
      </w:r>
    </w:p>
    <w:p>
      <w:r>
        <w:t>t) Министерство на труда и социалната политика;</w:t>
      </w:r>
    </w:p>
    <w:p>
      <w:r>
        <w:t>u) Министерство на финансите;</w:t>
      </w:r>
    </w:p>
    <w:p>
      <w:r>
        <w:t>v) State agencies, state commissions, executive agencies and other state authorities established by law or by Council of Ministers’ decree having a function relating to the exercise of executive power:</w:t>
      </w:r>
    </w:p>
    <w:p>
      <w:r>
        <w:t>a) Агенция за ядрено регулиране;</w:t>
      </w:r>
    </w:p>
    <w:p>
      <w:r>
        <w:t>b) Висшата атестационна комисия;</w:t>
      </w:r>
    </w:p>
    <w:p>
      <w:r>
        <w:t>c) Държавна комисия за енергийно и водно регулиране;</w:t>
      </w:r>
    </w:p>
    <w:p>
      <w:r>
        <w:t>d) Държавна комисия по сигурността на информацията;</w:t>
      </w:r>
    </w:p>
    <w:p>
      <w:r>
        <w:t>e) Комисия за защита на конкуренцията;</w:t>
      </w:r>
    </w:p>
    <w:p>
      <w:r>
        <w:t>f) Комисия за защита на личните данни;</w:t>
      </w:r>
    </w:p>
    <w:p>
      <w:r>
        <w:t>g) Комисия за защита от дискриминация;</w:t>
      </w:r>
    </w:p>
    <w:p>
      <w:r>
        <w:t>h) Комисия за регулиране на съобщенията;</w:t>
      </w:r>
    </w:p>
    <w:p>
      <w:r>
        <w:t>i) Комисия за финансов надзор;</w:t>
      </w:r>
    </w:p>
    <w:p>
      <w:r>
        <w:t>j) Патентно ведомство на Република България;</w:t>
      </w:r>
    </w:p>
    <w:p>
      <w:r>
        <w:t>k) Сметна палата на Република България;</w:t>
      </w:r>
    </w:p>
    <w:p>
      <w:r>
        <w:t>l) Агенция за приватизация;</w:t>
      </w:r>
    </w:p>
    <w:p>
      <w:r>
        <w:t>(m)Агенция за следприватизационен контрол;</w:t>
      </w:r>
    </w:p>
    <w:p>
      <w:r>
        <w:t>n) Български институт по метрология;</w:t>
      </w:r>
    </w:p>
    <w:p>
      <w:r>
        <w:t>o) Държавна агенция ‘Архиви’;</w:t>
      </w:r>
    </w:p>
    <w:p>
      <w:r>
        <w:t>p) Държавна агенция ‘Държавен резерв и военновременни запаси’;</w:t>
      </w:r>
    </w:p>
    <w:p>
      <w:r>
        <w:t>q) Държавна агенция ‘Национална сигурност’;</w:t>
      </w:r>
    </w:p>
    <w:p>
      <w:r>
        <w:t>r) Държавна агенция за бежанците;</w:t>
      </w:r>
    </w:p>
    <w:p>
      <w:r>
        <w:t>s) Държавна агенция за българите в чужбина;</w:t>
      </w:r>
    </w:p>
    <w:p>
      <w:r>
        <w:t>t) Държавна агенция за закрила на детето;</w:t>
      </w:r>
    </w:p>
    <w:p>
      <w:r>
        <w:t>u) Държавна агенция за информационни технологии и съобщения;</w:t>
      </w:r>
    </w:p>
    <w:p>
      <w:r>
        <w:t>v) Държавна агенция за метрологичен и технически надзор;</w:t>
      </w:r>
    </w:p>
    <w:p>
      <w:r>
        <w:t>(w)Държавна агенция за младежта и спорта;</w:t>
      </w:r>
    </w:p>
    <w:p>
      <w:r>
        <w:t>x) Държавна агенция по горите;</w:t>
      </w:r>
    </w:p>
    <w:p>
      <w:r>
        <w:t>y) Държавна агенция по туризма;</w:t>
      </w:r>
    </w:p>
    <w:p>
      <w:r>
        <w:t>z) Държавна комисия по стоковите борси и тържища;</w:t>
      </w:r>
    </w:p>
    <w:p>
      <w:r>
        <w:t>(aa) Институт по публична администрация и европейска интеграция;</w:t>
      </w:r>
    </w:p>
    <w:p>
      <w:r>
        <w:t>(bb) Национален статистически институт;</w:t>
      </w:r>
    </w:p>
    <w:p>
      <w:r>
        <w:t>(cc) Национална агенция за оценяване и акредитация;</w:t>
      </w:r>
    </w:p>
    <w:p>
      <w:r>
        <w:t>(dd) Националната агенция за професионално образование и обучение;</w:t>
      </w:r>
    </w:p>
    <w:p>
      <w:r>
        <w:t>(ee) Национална комисия за борба с трафика на хора;</w:t>
      </w:r>
    </w:p>
    <w:p>
      <w:r>
        <w:t>(ff) Агенция ‘Митници’;</w:t>
      </w:r>
    </w:p>
    <w:p>
      <w:r>
        <w:t>(gg) Агенция за държавна и финансова инспекция;</w:t>
      </w:r>
    </w:p>
    <w:p>
      <w:r>
        <w:t>(hh) Агенция за държавни вземания;</w:t>
      </w:r>
    </w:p>
    <w:p>
      <w:r>
        <w:t>ii) Агенция за социално подпомагане;</w:t>
      </w:r>
    </w:p>
    <w:p>
      <w:r>
        <w:t>(jj) Агенция за хората с увреждания;</w:t>
      </w:r>
    </w:p>
    <w:p>
      <w:r>
        <w:t>(kk)Агенция по вписванията;</w:t>
      </w:r>
    </w:p>
    <w:p>
      <w:r>
        <w:t>(ll) Агенция по геодезия, картография и кадастър;</w:t>
      </w:r>
    </w:p>
    <w:p>
      <w:r>
        <w:t>(mm) Агенция по енергийна ефективност;</w:t>
      </w:r>
    </w:p>
    <w:p>
      <w:r>
        <w:t>(nn) Агенция по заетостта;</w:t>
      </w:r>
    </w:p>
    <w:p>
      <w:r>
        <w:t>(oo) Агенция по обществени поръчки;</w:t>
      </w:r>
    </w:p>
    <w:p>
      <w:r>
        <w:t>(pp)Българска агенция за инвестиции;</w:t>
      </w:r>
    </w:p>
    <w:p>
      <w:r>
        <w:t>(qq) Главна дирекция ‘Гражданска въздухоплавателна администрация’;</w:t>
      </w:r>
    </w:p>
    <w:p>
      <w:r>
        <w:t>(rr) Дирекция ‘Материално-техническо осигуряване и социално</w:t>
      </w:r>
    </w:p>
    <w:p>
      <w:r>
        <w:t>обслужване’ на Министерство на вътрешните работи;</w:t>
      </w:r>
    </w:p>
    <w:p>
      <w:r>
        <w:t>(ss) Дирекция ‘Оперативно издирване’ на Министерство на</w:t>
      </w:r>
    </w:p>
    <w:p>
      <w:r>
        <w:t>вътрешните работи;</w:t>
      </w:r>
    </w:p>
    <w:p>
      <w:r>
        <w:t>(tt) Дирекция ‘Финансово-ресурсно осигуряване’ на Министерство навътрешните работи;</w:t>
      </w:r>
    </w:p>
    <w:p>
      <w:r>
        <w:t>(uu) Дирекция за национален строителен контрол;</w:t>
      </w:r>
    </w:p>
    <w:p>
      <w:r>
        <w:t>(vv) Държавна комисия по хазарта;</w:t>
      </w:r>
    </w:p>
    <w:p>
      <w:r>
        <w:t>(ww) Изпълнителна агенция ‘Автомобилна администрация’;</w:t>
      </w:r>
    </w:p>
    <w:p>
      <w:r>
        <w:t>(xx) Изпълнителна агенция ‘Борба с градушките’;</w:t>
      </w:r>
    </w:p>
    <w:p>
      <w:r>
        <w:t>(yy) Изпълнителна агенция ‘Българска служба за акредитация’;</w:t>
      </w:r>
    </w:p>
    <w:p>
      <w:r>
        <w:t>(zz) Изпълнителна агенция ‘Военни клубове и информация’;</w:t>
      </w:r>
    </w:p>
    <w:p>
      <w:r>
        <w:t>(aaa) Изпълнителна агенция ‘Главна инспекция по труда’;</w:t>
      </w:r>
    </w:p>
    <w:p>
      <w:r>
        <w:t>(bbb) Изпълнителна агенция ‘Държавна собственост на Министерството</w:t>
      </w:r>
    </w:p>
    <w:p>
      <w:r>
        <w:t>наотбраната’;</w:t>
      </w:r>
    </w:p>
    <w:p>
      <w:r>
        <w:t>(ccc) Изпълнителна агенция ‘Железопътна администрация’;</w:t>
      </w:r>
    </w:p>
    <w:p>
      <w:r>
        <w:t>(ddd) Изпълнителна агенция ‘Изпитвания и контролни измервания на</w:t>
      </w:r>
    </w:p>
    <w:p>
      <w:r>
        <w:t>въоръжение, техника и имущества’;</w:t>
      </w:r>
    </w:p>
    <w:p>
      <w:r>
        <w:t>(eee) Изпълнителна агенция ‘Морска администрация’;</w:t>
      </w:r>
    </w:p>
    <w:p>
      <w:r>
        <w:t>(fff) Изпълнителна агенция ‘Национален филмов център’;</w:t>
      </w:r>
    </w:p>
    <w:p>
      <w:r>
        <w:t>(ggg) Изпълнителна агенция ‘Пристанищна администрация’;</w:t>
      </w:r>
    </w:p>
    <w:p>
      <w:r>
        <w:t>(hhh) Изпълнителна агенция ‘Проучване и поддържане на река Дунав’;</w:t>
      </w:r>
    </w:p>
    <w:p>
      <w:r>
        <w:t>iii) Изпълнителна агенция ‘Социални дейности на Министерството на</w:t>
      </w:r>
    </w:p>
    <w:p>
      <w:r>
        <w:t>отбраната’;</w:t>
      </w:r>
    </w:p>
    <w:p>
      <w:r>
        <w:t>(jjj) Изпълнителна агенция за икономически анализи и прогнози;</w:t>
      </w:r>
    </w:p>
    <w:p>
      <w:r>
        <w:t>(kkk) Изпълнителна агенция за насърчаване на малките и средни</w:t>
      </w:r>
    </w:p>
    <w:p>
      <w:r>
        <w:t>предприятия;</w:t>
      </w:r>
    </w:p>
    <w:p>
      <w:r>
        <w:t>(lll) Изпълнителна агенция по лекарствата;</w:t>
      </w:r>
    </w:p>
    <w:p>
      <w:r>
        <w:t>(mmm) Изпълнителна агенция по лозата и виното;</w:t>
      </w:r>
    </w:p>
    <w:p>
      <w:r>
        <w:t>(nnn) Изпълнителна агенция по околна среда;</w:t>
      </w:r>
    </w:p>
    <w:p>
      <w:r>
        <w:t>(ooo) Изпълнителна агенция по почвените ресурси;</w:t>
      </w:r>
    </w:p>
    <w:p>
      <w:r>
        <w:t>(ppp) Изпълнителна агенция по рибарство и аквакултури;</w:t>
      </w:r>
    </w:p>
    <w:p>
      <w:r>
        <w:t>(qqq) Изпълнителна агенция по селекция и репродукция в</w:t>
      </w:r>
    </w:p>
    <w:p>
      <w:r>
        <w:t>животновъдството;</w:t>
      </w:r>
    </w:p>
    <w:p>
      <w:r>
        <w:t>(rrr) Изпълнителна агенция по сортоизпитване, апробация и</w:t>
      </w:r>
    </w:p>
    <w:p>
      <w:r>
        <w:t>семеконтрол;</w:t>
      </w:r>
    </w:p>
    <w:p>
      <w:r>
        <w:t>(sss) Изпълнителна агенция по трансплантация;</w:t>
      </w:r>
    </w:p>
    <w:p>
      <w:r>
        <w:t>(ttt) Изпълнителна агенция по хидромелиорации;</w:t>
      </w:r>
    </w:p>
    <w:p>
      <w:r>
        <w:t>(uuu) Комисията за защита на потребителите;</w:t>
      </w:r>
    </w:p>
    <w:p>
      <w:r>
        <w:t>(vvv) Контролно-техническата инспекция;</w:t>
      </w:r>
    </w:p>
    <w:p>
      <w:r>
        <w:t>(www) Национален център за информация и документация;</w:t>
      </w:r>
    </w:p>
    <w:p>
      <w:r>
        <w:t>(xxx) Национален център по радиобиология и радиационна защита;</w:t>
      </w:r>
    </w:p>
    <w:p>
      <w:r>
        <w:t>(yyy) Национална агенция за приходите;</w:t>
      </w:r>
    </w:p>
    <w:p>
      <w:r>
        <w:t>(zzz) Национална ветеринарномедицинска служба;</w:t>
      </w:r>
    </w:p>
    <w:p>
      <w:r>
        <w:t>(aaaa)Национална служба ‘Полиция’;</w:t>
      </w:r>
    </w:p>
    <w:p>
      <w:r>
        <w:t>(bbbb) Национална служба ‘Пожарна безопасност и защита на</w:t>
      </w:r>
    </w:p>
    <w:p>
      <w:r>
        <w:t>населението’;</w:t>
      </w:r>
    </w:p>
    <w:p>
      <w:r>
        <w:t>(cccc) Национална служба за растителна защита;</w:t>
      </w:r>
    </w:p>
    <w:p>
      <w:r>
        <w:t>(dddd) Национална служба за съвети в земеделието;</w:t>
      </w:r>
    </w:p>
    <w:p>
      <w:r>
        <w:t>(eeee) Национална служба по зърното и фуражите;</w:t>
      </w:r>
    </w:p>
    <w:p>
      <w:r>
        <w:t>(ffff)Служба ‘Военна информация’;</w:t>
      </w:r>
    </w:p>
    <w:p>
      <w:r>
        <w:t>(gggg)Служба ‘Военна полиция’;</w:t>
      </w:r>
    </w:p>
    <w:p>
      <w:r>
        <w:t>(hhhh) Фонд ‘Републиканска пътна инфраструктура’;</w:t>
      </w:r>
    </w:p>
    <w:p>
      <w:r>
        <w:t>(iiii)Авиоотряд 28.</w:t>
      </w:r>
    </w:p>
    <w:p>
      <w:r>
        <w:t>(3) CZECHIA</w:t>
      </w:r>
    </w:p>
    <w:p>
      <w:r>
        <w:t>a) Ministerstvo dopravy;</w:t>
      </w:r>
    </w:p>
    <w:p>
      <w:r>
        <w:t>b) Ministerstvo financí;</w:t>
      </w:r>
    </w:p>
    <w:p>
      <w:r>
        <w:t>c) Ministerstvo kultury;</w:t>
      </w:r>
    </w:p>
    <w:p>
      <w:r>
        <w:t>d) Ministerstvo obrany;</w:t>
      </w:r>
    </w:p>
    <w:p>
      <w:r>
        <w:t>e) Ministerstvo pro místní rozvoj;</w:t>
      </w:r>
    </w:p>
    <w:p>
      <w:r>
        <w:t>f) Ministerstvo práce a sociálních věcí;</w:t>
      </w:r>
    </w:p>
    <w:p>
      <w:r>
        <w:t>g) Ministerstvo průmyslu a obchodu;</w:t>
      </w:r>
    </w:p>
    <w:p>
      <w:r>
        <w:t>h) Ministerstvo spravedlnosti;</w:t>
      </w:r>
    </w:p>
    <w:p>
      <w:r>
        <w:t>i) Ministerstvo školství, mládeže a tělovýchovy;</w:t>
      </w:r>
    </w:p>
    <w:p>
      <w:r>
        <w:t>j) Ministerstvo vnitra;</w:t>
      </w:r>
    </w:p>
    <w:p>
      <w:r>
        <w:t>k) Ministerstvo zahraničních věcí;</w:t>
      </w:r>
    </w:p>
    <w:p>
      <w:r>
        <w:t>l) Ministerstvo zdravotnictví;</w:t>
      </w:r>
    </w:p>
    <w:p>
      <w:r>
        <w:t>(m)Ministerstvo zemědělství;</w:t>
      </w:r>
    </w:p>
    <w:p>
      <w:r>
        <w:t>n) Ministerstvo životního prostředí;</w:t>
      </w:r>
    </w:p>
    <w:p>
      <w:r>
        <w:t>o) Poslanecká sněmovna PČR;</w:t>
      </w:r>
    </w:p>
    <w:p>
      <w:r>
        <w:t>p) Senát PČR;</w:t>
      </w:r>
    </w:p>
    <w:p>
      <w:r>
        <w:t>q) Kancelář prezidenta;</w:t>
      </w:r>
    </w:p>
    <w:p>
      <w:r>
        <w:t>r) Český statistický úřad;</w:t>
      </w:r>
    </w:p>
    <w:p>
      <w:r>
        <w:t>s) Český úřad zeměměřičský a katastrální;</w:t>
      </w:r>
    </w:p>
    <w:p>
      <w:r>
        <w:t>t) Úřad průmyslového vlastnictví;</w:t>
      </w:r>
    </w:p>
    <w:p>
      <w:r>
        <w:t>u) Úřad pro ochranu osobních údajů;</w:t>
      </w:r>
    </w:p>
    <w:p>
      <w:r>
        <w:t>v) Bezpečnostní informační služba;</w:t>
      </w:r>
    </w:p>
    <w:p>
      <w:r>
        <w:t>(w)Národní bezpečnostní úřad;</w:t>
      </w:r>
    </w:p>
    <w:p>
      <w:r>
        <w:t>x) Česká akademie věd;</w:t>
      </w:r>
    </w:p>
    <w:p>
      <w:r>
        <w:t>y) Vězeňská služba;</w:t>
      </w:r>
    </w:p>
    <w:p>
      <w:r>
        <w:t>z) Český báňský úřad;</w:t>
      </w:r>
    </w:p>
    <w:p>
      <w:r>
        <w:t>(aa)Úřad pro ochranu hospodářské soutěže;</w:t>
      </w:r>
    </w:p>
    <w:p>
      <w:r>
        <w:t>(bb)Správa státních hmotných rezerv;</w:t>
      </w:r>
    </w:p>
    <w:p>
      <w:r>
        <w:t>(cc)Státní úřad pro jadernou bezpečnost;</w:t>
      </w:r>
    </w:p>
    <w:p>
      <w:r>
        <w:t>(dd)Česká národní banka;</w:t>
      </w:r>
    </w:p>
    <w:p>
      <w:r>
        <w:t>(ee)Energetický regulační úřad;</w:t>
      </w:r>
    </w:p>
    <w:p>
      <w:r>
        <w:t>(ff)Úřad vlády České republiky;</w:t>
      </w:r>
    </w:p>
    <w:p>
      <w:r>
        <w:t>(gg)Ústavní soud;</w:t>
      </w:r>
    </w:p>
    <w:p>
      <w:r>
        <w:t>(hh)Nejvyšší soud;</w:t>
      </w:r>
    </w:p>
    <w:p>
      <w:r>
        <w:t>ii) Nejvyšší správní soud;</w:t>
      </w:r>
    </w:p>
    <w:p>
      <w:r>
        <w:t>(jj) Nejvyšší státní zastupitelství;</w:t>
      </w:r>
    </w:p>
    <w:p>
      <w:r>
        <w:t>(kk)Nejvyšší kontrolní úřad;</w:t>
      </w:r>
    </w:p>
    <w:p>
      <w:r>
        <w:t>(ll) Kancelář Veřejného ochránce práv;</w:t>
      </w:r>
    </w:p>
    <w:p>
      <w:r>
        <w:t>(mm)Grantová agentura České republiky;</w:t>
      </w:r>
    </w:p>
    <w:p>
      <w:r>
        <w:t>(nn)Státní úřad inspekce prace;</w:t>
      </w:r>
    </w:p>
    <w:p>
      <w:r>
        <w:t>(oo)Český telekomunikační úřad.</w:t>
      </w:r>
    </w:p>
    <w:p>
      <w:r>
        <w:t>(4) DENMARK</w:t>
      </w:r>
    </w:p>
    <w:p>
      <w:r>
        <w:t>a) Folketinget;</w:t>
      </w:r>
    </w:p>
    <w:p>
      <w:r>
        <w:t>b) Rigsrevisionen;</w:t>
      </w:r>
    </w:p>
    <w:p>
      <w:r>
        <w:t>c) Statsministeriet;</w:t>
      </w:r>
    </w:p>
    <w:p>
      <w:r>
        <w:t>d) Udenrigsministeriet;</w:t>
      </w:r>
    </w:p>
    <w:p>
      <w:r>
        <w:t>e) Beskæftigelsesministeriet:</w:t>
      </w:r>
    </w:p>
    <w:p>
      <w:r>
        <w:t>f) Fem styrelser og institutioner (five agencies and institutions);</w:t>
      </w:r>
    </w:p>
    <w:p>
      <w:r>
        <w:t>g) Domstolsstyrelsen;</w:t>
      </w:r>
    </w:p>
    <w:p>
      <w:r>
        <w:t>h) Finansministeriet:</w:t>
      </w:r>
    </w:p>
    <w:p>
      <w:r>
        <w:t>i) Fem styrelser og institutioner (five agencies and institutions);</w:t>
      </w:r>
    </w:p>
    <w:p>
      <w:r>
        <w:t>j) Forsvarsministeriet:</w:t>
      </w:r>
    </w:p>
    <w:p>
      <w:r>
        <w:t>k) Fem styrelser og institutioner (five agencies and institutions);</w:t>
      </w:r>
    </w:p>
    <w:p>
      <w:r>
        <w:t>l) Ministeriet for Sundhed og Forebyggelse:</w:t>
      </w:r>
    </w:p>
    <w:p>
      <w:r>
        <w:t>(m)Adskillige styrelser og institutioner, herunder Statens Serum Institut (Several</w:t>
      </w:r>
    </w:p>
    <w:p>
      <w:r>
        <w:t>agencies and institutions, including Statens Serum Institut);</w:t>
      </w:r>
    </w:p>
    <w:p>
      <w:r>
        <w:t>n) Justitsministeriet:</w:t>
      </w:r>
    </w:p>
    <w:p>
      <w:r>
        <w:t>o) Rigspolitichefen, anklagemyndigheden samt en direktorat og et antal styrelser (Commissioner of Police, the public prosecutor, a directorate and a number of agencies);</w:t>
      </w:r>
    </w:p>
    <w:p>
      <w:r>
        <w:t>p) Kirkeministeriet:</w:t>
      </w:r>
    </w:p>
    <w:p>
      <w:r>
        <w:t>q) Ti stiftsøvrigheder (ten diocesan authorities);</w:t>
      </w:r>
    </w:p>
    <w:p>
      <w:r>
        <w:t>r) Kulturministeriet — Ministry of Culture:</w:t>
      </w:r>
    </w:p>
    <w:p>
      <w:r>
        <w:t>s) Fire styrelser samt et antal statsinstitutioner (four departments and a number of institutions);</w:t>
      </w:r>
    </w:p>
    <w:p>
      <w:r>
        <w:t>t) Miljøministeriet:</w:t>
      </w:r>
    </w:p>
    <w:p>
      <w:r>
        <w:t>u) Fem styrelser (five agencies);</w:t>
      </w:r>
    </w:p>
    <w:p>
      <w:r>
        <w:t>v) Ministeriet for Flygtninge, Invandrere og Integration:</w:t>
      </w:r>
    </w:p>
    <w:p>
      <w:r>
        <w:t>(w)En styrelse (a agency);</w:t>
      </w:r>
    </w:p>
    <w:p>
      <w:r>
        <w:t>x) Ministeriet for Fødevarer, Landbrug og Fiskeri:</w:t>
      </w:r>
    </w:p>
    <w:p>
      <w:r>
        <w:t>y) Fire direktoraterog institutioner (four directorates and institutions);</w:t>
      </w:r>
    </w:p>
    <w:p>
      <w:r>
        <w:t>z) Ministeriet for Videnskab, Teknologi og Udvikling:</w:t>
      </w:r>
    </w:p>
    <w:p>
      <w:r>
        <w:t>(aa)Adskillige styrelser og institutioner, Forskningscenter Risø og Statens</w:t>
      </w:r>
    </w:p>
    <w:p>
      <w:r>
        <w:t>uddannelsesbygninger (Several agencies and institutions, including Risoe National Laboratory and Danish National Research and Education Buildings);</w:t>
      </w:r>
    </w:p>
    <w:p>
      <w:r>
        <w:t>(bb)Skatteministeriet:</w:t>
      </w:r>
    </w:p>
    <w:p>
      <w:r>
        <w:t>(cc)En styrelse og institutioner (a agency and several institutions);</w:t>
      </w:r>
    </w:p>
    <w:p>
      <w:r>
        <w:t>(dd)Velfærdsministeriet:</w:t>
      </w:r>
    </w:p>
    <w:p>
      <w:r>
        <w:t>(ee)Tre styrelser og institutioner (three agencies and several institutions);</w:t>
      </w:r>
    </w:p>
    <w:p>
      <w:r>
        <w:t>(ff)Transportministeriet:</w:t>
      </w:r>
    </w:p>
    <w:p>
      <w:r>
        <w:t>(gg)Syv styrelser og institutioner, herunder Øresundsbrokonsortiet (seven agencies</w:t>
      </w:r>
    </w:p>
    <w:p>
      <w:r>
        <w:t>and institutions, including Øresundsbrokonsortiet);</w:t>
      </w:r>
    </w:p>
    <w:p>
      <w:r>
        <w:t>(hh)Undervisningsministeriet:</w:t>
      </w:r>
    </w:p>
    <w:p>
      <w:r>
        <w:t>ii) Tre styrelser, fire undervisningsinstitutioner og fem andre institutioner (three agencies, four educational establishments, five other institutions);</w:t>
      </w:r>
    </w:p>
    <w:p>
      <w:r>
        <w:t>(jj) Økonomi- og Erhvervsministeriet:</w:t>
      </w:r>
    </w:p>
    <w:p>
      <w:r>
        <w:t>(kk)Adskilligestyrelser og institutioner (Several agencies and institutions);</w:t>
      </w:r>
    </w:p>
    <w:p>
      <w:r>
        <w:t>(ll) Klima- og Energiministeriet:</w:t>
      </w:r>
    </w:p>
    <w:p>
      <w:r>
        <w:t>(mm)Tre styrelse og institutioner (three agencies and institutions).</w:t>
      </w:r>
    </w:p>
    <w:p>
      <w:r>
        <w:t>(5) GERMANY</w:t>
      </w:r>
    </w:p>
    <w:p>
      <w:r>
        <w:t>a) Auswärtiges Amt;</w:t>
      </w:r>
    </w:p>
    <w:p>
      <w:r>
        <w:t>b) Bundeskanzleramt;</w:t>
      </w:r>
    </w:p>
    <w:p>
      <w:r>
        <w:t>c) Bundesministerium für Arbeit und Soziales;</w:t>
      </w:r>
    </w:p>
    <w:p>
      <w:r>
        <w:t>d) Bundesministerium für Bildung und Forschung;</w:t>
      </w:r>
    </w:p>
    <w:p>
      <w:r>
        <w:t>e) Bundesministerium für Ernährung, Landwirtschaft und Verbraucherschutz;</w:t>
      </w:r>
    </w:p>
    <w:p>
      <w:r>
        <w:t>f) Bundesministerium der Finanzen;</w:t>
      </w:r>
    </w:p>
    <w:p>
      <w:r>
        <w:t>g) Bundesministerium des Innern (only civil goods);</w:t>
      </w:r>
    </w:p>
    <w:p>
      <w:r>
        <w:t>h) Bundesministerium für Gesundheit;</w:t>
      </w:r>
    </w:p>
    <w:p>
      <w:r>
        <w:t>i) Bundesministerium für Familie, Senioren, Frauen und Jugend;</w:t>
      </w:r>
    </w:p>
    <w:p>
      <w:r>
        <w:t>j) Bundesministerium der Justiz;</w:t>
      </w:r>
    </w:p>
    <w:p>
      <w:r>
        <w:t>k) Bundesministerium für Verkehr, Bau und Stadtentwicklung;</w:t>
      </w:r>
    </w:p>
    <w:p>
      <w:r>
        <w:t>l) Bundesministerium für Wirtschaft und Technologie;</w:t>
      </w:r>
    </w:p>
    <w:p>
      <w:r>
        <w:t>(m)Bundesministerium für wirtschaftliche Zusammenarbeit und Entwicklung;</w:t>
      </w:r>
    </w:p>
    <w:p>
      <w:r>
        <w:t>n) Bundesministerium der Verteidigung (no military goods);</w:t>
      </w:r>
    </w:p>
    <w:p>
      <w:r>
        <w:t>o) Bundesministerium für Umwelt, Naturschutz und Reaktorsicherheit.</w:t>
      </w:r>
    </w:p>
    <w:p>
      <w:r>
        <w:t>(6) ESTONIA</w:t>
      </w:r>
    </w:p>
    <w:p>
      <w:r>
        <w:t>a) Vabariigi Presidendi Kantselei;</w:t>
      </w:r>
    </w:p>
    <w:p>
      <w:r>
        <w:t>b) Eesti Vabariigi Riigikogu;</w:t>
      </w:r>
    </w:p>
    <w:p>
      <w:r>
        <w:t>c) Eesti Vabariigi Riigikohus;</w:t>
      </w:r>
    </w:p>
    <w:p>
      <w:r>
        <w:t>d) Riigikontroll;</w:t>
      </w:r>
    </w:p>
    <w:p>
      <w:r>
        <w:t>e) Õiguskantsler;</w:t>
      </w:r>
    </w:p>
    <w:p>
      <w:r>
        <w:t>f) Riigikantselei;</w:t>
      </w:r>
    </w:p>
    <w:p>
      <w:r>
        <w:t>g) Rahvusarhiiv;</w:t>
      </w:r>
    </w:p>
    <w:p>
      <w:r>
        <w:t>h) Haridus- ja Teadusministeerium;</w:t>
      </w:r>
    </w:p>
    <w:p>
      <w:r>
        <w:t>i) Justiitsministeerium;</w:t>
      </w:r>
    </w:p>
    <w:p>
      <w:r>
        <w:t>j) Kaitseministeerium;</w:t>
      </w:r>
    </w:p>
    <w:p>
      <w:r>
        <w:t>k) Keskkonnaministeerium;</w:t>
      </w:r>
    </w:p>
    <w:p>
      <w:r>
        <w:t>l) Kultuuriministeerium;</w:t>
      </w:r>
    </w:p>
    <w:p>
      <w:r>
        <w:t>(m)Majandus- ja Kommunikatsiooniministeerium;</w:t>
      </w:r>
    </w:p>
    <w:p>
      <w:r>
        <w:t>n) Põllumajandusministeerium;</w:t>
      </w:r>
    </w:p>
    <w:p>
      <w:r>
        <w:t>o) Rahandusministeerium;</w:t>
      </w:r>
    </w:p>
    <w:p>
      <w:r>
        <w:t>p) Siseministeerium;</w:t>
      </w:r>
    </w:p>
    <w:p>
      <w:r>
        <w:t>q) Sotsiaalministeerium;</w:t>
      </w:r>
    </w:p>
    <w:p>
      <w:r>
        <w:t>r) Välisministeerium;</w:t>
      </w:r>
    </w:p>
    <w:p>
      <w:r>
        <w:t>s) Keeleinspektsioon;</w:t>
      </w:r>
    </w:p>
    <w:p>
      <w:r>
        <w:t>t) Riigiprokuratuur;</w:t>
      </w:r>
    </w:p>
    <w:p>
      <w:r>
        <w:t>u) Teabeamet;</w:t>
      </w:r>
    </w:p>
    <w:p>
      <w:r>
        <w:t>v) Maa-amet;</w:t>
      </w:r>
    </w:p>
    <w:p>
      <w:r>
        <w:t>(w)Keskkonnainspektsioon;</w:t>
      </w:r>
    </w:p>
    <w:p>
      <w:r>
        <w:t>x) Metsakaitse- ja Metsauuenduskeskus;</w:t>
      </w:r>
    </w:p>
    <w:p>
      <w:r>
        <w:t>y) Muinsuskaitseamet;</w:t>
      </w:r>
    </w:p>
    <w:p>
      <w:r>
        <w:t>z) Patendiamet;</w:t>
      </w:r>
    </w:p>
    <w:p>
      <w:r>
        <w:t>(aa)Tarbijakaitseamet;</w:t>
      </w:r>
    </w:p>
    <w:p>
      <w:r>
        <w:t>(bb)Riigihangete Amet;</w:t>
      </w:r>
    </w:p>
    <w:p>
      <w:r>
        <w:t>(cc)Taimetoodangu Inspektsioon;</w:t>
      </w:r>
    </w:p>
    <w:p>
      <w:r>
        <w:t>(dd)Põllumajanduse Registrite ja Informatsiooni Amet;</w:t>
      </w:r>
    </w:p>
    <w:p>
      <w:r>
        <w:t>(ee)Veterinaar- ja Toiduamet;</w:t>
      </w:r>
    </w:p>
    <w:p>
      <w:r>
        <w:t>(ff)Konkurentsiamet;</w:t>
      </w:r>
    </w:p>
    <w:p>
      <w:r>
        <w:t>(gg)Maksu –ja Tolliamet;</w:t>
      </w:r>
    </w:p>
    <w:p>
      <w:r>
        <w:t>(hh)Statistikaamet;</w:t>
      </w:r>
    </w:p>
    <w:p>
      <w:r>
        <w:t>ii) Kaitsepolitseiamet;</w:t>
      </w:r>
    </w:p>
    <w:p>
      <w:r>
        <w:t>(jj) Kodakondsus- ja Migratsiooniamet;</w:t>
      </w:r>
    </w:p>
    <w:p>
      <w:r>
        <w:t>(kk)Piirivalveamet;</w:t>
      </w:r>
    </w:p>
    <w:p>
      <w:r>
        <w:t>(ll) Politseiamet;</w:t>
      </w:r>
    </w:p>
    <w:p>
      <w:r>
        <w:t>(mm)Eesti Kohtuekspertiisi Instituut;</w:t>
      </w:r>
    </w:p>
    <w:p>
      <w:r>
        <w:t>(nn)Keskkriminaalpolitsei;</w:t>
      </w:r>
    </w:p>
    <w:p>
      <w:r>
        <w:t>(oo)Päästeamet;</w:t>
      </w:r>
    </w:p>
    <w:p>
      <w:r>
        <w:t>(pp)Andmekaitse Inspektsioon;</w:t>
      </w:r>
    </w:p>
    <w:p>
      <w:r>
        <w:t>(qq)Ravimiamet;</w:t>
      </w:r>
    </w:p>
    <w:p>
      <w:r>
        <w:t>(rr)Sotsiaalkindlustusamet;</w:t>
      </w:r>
    </w:p>
    <w:p>
      <w:r>
        <w:t>(ss)Tööturuamet;</w:t>
      </w:r>
    </w:p>
    <w:p>
      <w:r>
        <w:t>(tt) Tervishoiuamet;</w:t>
      </w:r>
    </w:p>
    <w:p>
      <w:r>
        <w:t>(uu)Tervisekaitseinspektsioon;</w:t>
      </w:r>
    </w:p>
    <w:p>
      <w:r>
        <w:t>(vv)Tööinspektsioon;</w:t>
      </w:r>
    </w:p>
    <w:p>
      <w:r>
        <w:t>(ww)Lennuamet;</w:t>
      </w:r>
    </w:p>
    <w:p>
      <w:r>
        <w:t>(xx)Maanteeamet;</w:t>
      </w:r>
    </w:p>
    <w:p>
      <w:r>
        <w:t>(yy)Veeteede Amet;</w:t>
      </w:r>
    </w:p>
    <w:p>
      <w:r>
        <w:t>(zz)Julgestuspolitsei;</w:t>
      </w:r>
    </w:p>
    <w:p>
      <w:r>
        <w:t>(aaa)Kaitseressursside Amet;</w:t>
      </w:r>
    </w:p>
    <w:p>
      <w:r>
        <w:t>(bbb)Kaitseväe Logistikakeskus;</w:t>
      </w:r>
    </w:p>
    <w:p>
      <w:r>
        <w:t>(ccc)Tehnilise Järelevalve Amet.</w:t>
      </w:r>
    </w:p>
    <w:p>
      <w:r>
        <w:t>(7) IRELAND</w:t>
      </w:r>
    </w:p>
    <w:p>
      <w:r>
        <w:t>a) President’s Establishment;</w:t>
      </w:r>
    </w:p>
    <w:p>
      <w:r>
        <w:t>b) Houses of the Oireachtas — [Parliament];</w:t>
      </w:r>
    </w:p>
    <w:p>
      <w:r>
        <w:t>c) Department of the Taoiseach — [Prime Minister];</w:t>
      </w:r>
    </w:p>
    <w:p>
      <w:r>
        <w:t>d) Central Statistics Office;</w:t>
      </w:r>
    </w:p>
    <w:p>
      <w:r>
        <w:t>e) Department of Finance;</w:t>
      </w:r>
    </w:p>
    <w:p>
      <w:r>
        <w:t>f) Office of the Comptroller and Auditor General;</w:t>
      </w:r>
    </w:p>
    <w:p>
      <w:r>
        <w:t>g) Office of the Revenue Commissioners;</w:t>
      </w:r>
    </w:p>
    <w:p>
      <w:r>
        <w:t>h) Office of Public Works;</w:t>
      </w:r>
    </w:p>
    <w:p>
      <w:r>
        <w:t>i) State Laboratory;</w:t>
      </w:r>
    </w:p>
    <w:p>
      <w:r>
        <w:t>j) Office of the Attorney General;</w:t>
      </w:r>
    </w:p>
    <w:p>
      <w:r>
        <w:t>k) Office of the Director of Public Prosecutions;</w:t>
      </w:r>
    </w:p>
    <w:p>
      <w:r>
        <w:t>l) Valuation Office;</w:t>
      </w:r>
    </w:p>
    <w:p>
      <w:r>
        <w:t>(m)Office of the Commission for Public Service Appointments;</w:t>
      </w:r>
    </w:p>
    <w:p>
      <w:r>
        <w:t>n) Public Appointments Service;</w:t>
      </w:r>
    </w:p>
    <w:p>
      <w:r>
        <w:t>o) Office of the Ombudsman;</w:t>
      </w:r>
    </w:p>
    <w:p>
      <w:r>
        <w:t>p) Chief State Solicitor’s Office;</w:t>
      </w:r>
    </w:p>
    <w:p>
      <w:r>
        <w:t>q) Department of Justice, Equality and Law Reform;</w:t>
      </w:r>
    </w:p>
    <w:p>
      <w:r>
        <w:t>r) Courts Service;</w:t>
      </w:r>
    </w:p>
    <w:p>
      <w:r>
        <w:t>s) Prisons Service;</w:t>
      </w:r>
    </w:p>
    <w:p>
      <w:r>
        <w:t>t) Office of the Commissioners of Charitable Donations and Bequests;</w:t>
      </w:r>
    </w:p>
    <w:p>
      <w:r>
        <w:t>u) Department of the Environment, Heritage and Local Government;</w:t>
      </w:r>
    </w:p>
    <w:p>
      <w:r>
        <w:t>v) Department of Education and Science;</w:t>
      </w:r>
    </w:p>
    <w:p>
      <w:r>
        <w:t>(w)Department of Communications, Energy and Natural Resources;</w:t>
      </w:r>
    </w:p>
    <w:p>
      <w:r>
        <w:t>x) Department of Agriculture, Fisheries and Food;</w:t>
      </w:r>
    </w:p>
    <w:p>
      <w:r>
        <w:t>y) Department of Transport;</w:t>
      </w:r>
    </w:p>
    <w:p>
      <w:r>
        <w:t>z) Department of Health and Children;</w:t>
      </w:r>
    </w:p>
    <w:p>
      <w:r>
        <w:t>(aa)Department of Enterprise, Trade and Employment;</w:t>
      </w:r>
    </w:p>
    <w:p>
      <w:r>
        <w:t>(bb)Department of Arts, Sports and Tourism;</w:t>
      </w:r>
    </w:p>
    <w:p>
      <w:r>
        <w:t>(cc)Department of Defence;</w:t>
      </w:r>
    </w:p>
    <w:p>
      <w:r>
        <w:t>(dd)Department of Foreign Affairs;</w:t>
      </w:r>
    </w:p>
    <w:p>
      <w:r>
        <w:t>(ee)Department of Social and Family Affairs;</w:t>
      </w:r>
    </w:p>
    <w:p>
      <w:r>
        <w:t>(ff)Department of Community, Rural and Gaeltacht — [Gaelic speaking regions]</w:t>
      </w:r>
    </w:p>
    <w:p>
      <w:r>
        <w:t>Affairs;</w:t>
      </w:r>
    </w:p>
    <w:p>
      <w:r>
        <w:t>(gg)Arts Council;</w:t>
      </w:r>
    </w:p>
    <w:p>
      <w:r>
        <w:t>(hh)National Gallery.</w:t>
      </w:r>
    </w:p>
    <w:p>
      <w:r>
        <w:t>(8) GREECE</w:t>
      </w:r>
    </w:p>
    <w:p>
      <w:r>
        <w:t>a) Υπουργείο Εσωτερικών;</w:t>
      </w:r>
    </w:p>
    <w:p>
      <w:r>
        <w:t>b) Υπουργείο Εξωτερικών;</w:t>
      </w:r>
    </w:p>
    <w:p>
      <w:r>
        <w:t>c) Υπουργείο Οικονομίας και Οικονομικών;</w:t>
      </w:r>
    </w:p>
    <w:p>
      <w:r>
        <w:t>d) Υπουργείο Ανάπτυξης;</w:t>
      </w:r>
    </w:p>
    <w:p>
      <w:r>
        <w:t>e) Υπουργείο Δικαιοσύνης;</w:t>
      </w:r>
    </w:p>
    <w:p>
      <w:r>
        <w:t>f) Υπουργείο Εθνικής Παιδείας και Θρησκευμάτων;</w:t>
      </w:r>
    </w:p>
    <w:p>
      <w:r>
        <w:t>g) Υπουργείο Πολιτισμού;</w:t>
      </w:r>
    </w:p>
    <w:p>
      <w:r>
        <w:t>h) Υπουργείο Υγείας και Κοινωνικής Αλληλεγγύης;</w:t>
      </w:r>
    </w:p>
    <w:p>
      <w:r>
        <w:t>i) Υπουργείο Περιβάλλοντος, Χωροταξίας και Δημοσίων Έργων;</w:t>
      </w:r>
    </w:p>
    <w:p>
      <w:r>
        <w:t>j) Υπουργείο Απασχόλησης και Κοινωνικής Προστασίας;</w:t>
      </w:r>
    </w:p>
    <w:p>
      <w:r>
        <w:t>k) Υπουργείο Μεταφορών και Επικοινωνιών;</w:t>
      </w:r>
    </w:p>
    <w:p>
      <w:r>
        <w:t>l) Υπουργείο Αγροτικής Ανάπτυξης και Τροφίμων;</w:t>
      </w:r>
    </w:p>
    <w:p>
      <w:r>
        <w:t>(m)Υπουργείο Εμπορικής Ναυτιλίας, Αιγαίου και Νησιωτικής Πολιτικής;</w:t>
      </w:r>
    </w:p>
    <w:p>
      <w:r>
        <w:t>n) Υπουργείο Μακεδονίας- Θράκης;</w:t>
      </w:r>
    </w:p>
    <w:p>
      <w:r>
        <w:t>o) Γενική Γραμματεία Επικοινωνίας;</w:t>
      </w:r>
    </w:p>
    <w:p>
      <w:r>
        <w:t>p) Γενική Γραμματεία Ενημέρωσης;</w:t>
      </w:r>
    </w:p>
    <w:p>
      <w:r>
        <w:t>q) Γενική Γραμματεία Νέας Γενιάς;</w:t>
      </w:r>
    </w:p>
    <w:p>
      <w:r>
        <w:t>r) Γενική Γραμματεία Ισότητας;</w:t>
      </w:r>
    </w:p>
    <w:p>
      <w:r>
        <w:t>s) Γενική Γραμματεία Κοινωνικών Ασφαλίσεων;</w:t>
      </w:r>
    </w:p>
    <w:p>
      <w:r>
        <w:t>t) Γενική Γραμματεία Απόδημου Ελληνισμού;</w:t>
      </w:r>
    </w:p>
    <w:p>
      <w:r>
        <w:t>u) Γενική Γραμματεία Βιομηχανίας;</w:t>
      </w:r>
    </w:p>
    <w:p>
      <w:r>
        <w:t>v) Γενική Γραμματεία Έρευνας και Τεχνολογίας;</w:t>
      </w:r>
    </w:p>
    <w:p>
      <w:r>
        <w:t>(w)Γενική Γραμματεία Αθλητισμού;</w:t>
      </w:r>
    </w:p>
    <w:p>
      <w:r>
        <w:t>x) Γενική Γραμματεία Δημοσίων Έργων;</w:t>
      </w:r>
    </w:p>
    <w:p>
      <w:r>
        <w:t>y) Γενική Γραμματεία Εθνικής Στατιστικής Υπηρεσίας Ελλάδος;</w:t>
      </w:r>
    </w:p>
    <w:p>
      <w:r>
        <w:t>z) Εθνικό Συμβούλιο Κοινωνικής Φροντίδας;</w:t>
      </w:r>
    </w:p>
    <w:p>
      <w:r>
        <w:t>(aa)Οργανισμός Εργατικής Κατοικίας;</w:t>
      </w:r>
    </w:p>
    <w:p>
      <w:r>
        <w:t>(bb)Εθνικό Τυπογραφείο;</w:t>
      </w:r>
    </w:p>
    <w:p>
      <w:r>
        <w:t>(cc)Γενικό Χημείο του Κράτους;</w:t>
      </w:r>
    </w:p>
    <w:p>
      <w:r>
        <w:t>(dd)Ταμείο Εθνικής Οδοποιίας;</w:t>
      </w:r>
    </w:p>
    <w:p>
      <w:r>
        <w:t>(ee)Εθνικό Καποδιστριακό Πανεπιστήμιο Αθηνών;</w:t>
      </w:r>
    </w:p>
    <w:p>
      <w:r>
        <w:t>(ff)Αριστοτέλειο Πανεπιστήμιο Θεσσαλονίκης;</w:t>
      </w:r>
    </w:p>
    <w:p>
      <w:r>
        <w:t>(gg)Δημοκρίτειο Πανεπιστήμιο Θράκης;</w:t>
      </w:r>
    </w:p>
    <w:p>
      <w:r>
        <w:t>(hh)Πανεπιστήμιο Αιγαίου;</w:t>
      </w:r>
    </w:p>
    <w:p>
      <w:r>
        <w:t>ii) Πανεπιστήμιο Ιωαννίνων;</w:t>
      </w:r>
    </w:p>
    <w:p>
      <w:r>
        <w:t>(jj) Πανεπιστήμιο Πατρών;</w:t>
      </w:r>
    </w:p>
    <w:p>
      <w:r>
        <w:t>(kk)Πανεπιστήμιο Μακεδονίας;</w:t>
      </w:r>
    </w:p>
    <w:p>
      <w:r>
        <w:t>(ll) Πολυτεχνείο Κρήτης;</w:t>
      </w:r>
    </w:p>
    <w:p>
      <w:r>
        <w:t>(mm)Σιβιτανίδειος Δημόσια Σχολή Τεχνών και Επαγγελμάτων;</w:t>
      </w:r>
    </w:p>
    <w:p>
      <w:r>
        <w:t>(nn)Αιγινήτειο Νοσοκομείο;</w:t>
      </w:r>
    </w:p>
    <w:p>
      <w:r>
        <w:t>(oo)Αρεταίειο Νοσοκομείο;</w:t>
      </w:r>
    </w:p>
    <w:p>
      <w:r>
        <w:t>(pp)Εθνικό Κέντρο Δημόσιας Διοίκησης;</w:t>
      </w:r>
    </w:p>
    <w:p>
      <w:r>
        <w:t>(qq)Οργανισμός Διαχείρισης Δημοσίου Υλικού;</w:t>
      </w:r>
    </w:p>
    <w:p>
      <w:r>
        <w:t>(rr)Οργανισμός Γεωργικών Ασφαλίσεων;</w:t>
      </w:r>
    </w:p>
    <w:p>
      <w:r>
        <w:t>(ss)Οργανισμός Σχολικών Κτιρίων;</w:t>
      </w:r>
    </w:p>
    <w:p>
      <w:r>
        <w:t>(tt) Γενικό Επιτελείο Στρατού;</w:t>
      </w:r>
    </w:p>
    <w:p>
      <w:r>
        <w:t>(uu)Γενικό Επιτελείο Ναυτικού;</w:t>
      </w:r>
    </w:p>
    <w:p>
      <w:r>
        <w:t>(vv)Γενικό Επιτελείο Αεροπορίας;</w:t>
      </w:r>
    </w:p>
    <w:p>
      <w:r>
        <w:t>(ww)Ελληνική Επιτροπή Ατομικής Ενέργειας;</w:t>
      </w:r>
    </w:p>
    <w:p>
      <w:r>
        <w:t>(xx)Γενική Γραμματεία Εκπαίδευσης Ενηλίκων;</w:t>
      </w:r>
    </w:p>
    <w:p>
      <w:r>
        <w:t>(yy)Υπουργείο Εθνικής Άμυνας;</w:t>
      </w:r>
    </w:p>
    <w:p>
      <w:r>
        <w:t>(zz)Γενική Γραμματεία Εμπορίου.</w:t>
      </w:r>
    </w:p>
    <w:p>
      <w:r>
        <w:t>(9) SPAIN</w:t>
      </w:r>
    </w:p>
    <w:p>
      <w:r>
        <w:t>a) Presidencia de Gobierno;</w:t>
      </w:r>
    </w:p>
    <w:p>
      <w:r>
        <w:t>b) Ministerio de Asuntos Exteriores y de Cooperación;</w:t>
      </w:r>
    </w:p>
    <w:p>
      <w:r>
        <w:t>c) Ministerio de Justicia;</w:t>
      </w:r>
    </w:p>
    <w:p>
      <w:r>
        <w:t>d) Ministerio de Defensa;</w:t>
      </w:r>
    </w:p>
    <w:p>
      <w:r>
        <w:t>e) Ministerio de Economía y Hacienda;</w:t>
      </w:r>
    </w:p>
    <w:p>
      <w:r>
        <w:t>f) Ministerio del Interior;</w:t>
      </w:r>
    </w:p>
    <w:p>
      <w:r>
        <w:t>g) Ministerio de Fomento;</w:t>
      </w:r>
    </w:p>
    <w:p>
      <w:r>
        <w:t>h) Ministerio de Educación, Política Social y Deportes;</w:t>
      </w:r>
    </w:p>
    <w:p>
      <w:r>
        <w:t>i) Ministerio de Industria, Turismo y Comercio;</w:t>
      </w:r>
    </w:p>
    <w:p>
      <w:r>
        <w:t>j) Ministerio de Trabajo e Inmigración;</w:t>
      </w:r>
    </w:p>
    <w:p>
      <w:r>
        <w:t>k) Ministerio de la Presidencia;</w:t>
      </w:r>
    </w:p>
    <w:p>
      <w:r>
        <w:t>l) Ministerio de Administraciones Públicas;</w:t>
      </w:r>
    </w:p>
    <w:p>
      <w:r>
        <w:t>(m)Ministerio de Cultura;</w:t>
      </w:r>
    </w:p>
    <w:p>
      <w:r>
        <w:t>n) Ministerio de Sanidad y Consumo;</w:t>
      </w:r>
    </w:p>
    <w:p>
      <w:r>
        <w:t>o) Ministerio de Medio Ambiente y Medio Rural y Marino;</w:t>
      </w:r>
    </w:p>
    <w:p>
      <w:r>
        <w:t>p) Ministerio de Vivienda;</w:t>
      </w:r>
    </w:p>
    <w:p>
      <w:r>
        <w:t>q) Ministerio de Ciencia e Innovación;</w:t>
      </w:r>
    </w:p>
    <w:p>
      <w:r>
        <w:t>r) Ministerio de Igualdad.</w:t>
      </w:r>
    </w:p>
    <w:p>
      <w:r>
        <w:t>(10) FRANCE</w:t>
      </w:r>
    </w:p>
    <w:p>
      <w:r>
        <w:t>a) Ministries:</w:t>
      </w:r>
    </w:p>
    <w:p>
      <w:r>
        <w:t>a) Services du Premier ministre;</w:t>
      </w:r>
    </w:p>
    <w:p>
      <w:r>
        <w:t>b) Ministère chargé de la santé, de la jeunesse et des sports;</w:t>
      </w:r>
    </w:p>
    <w:p>
      <w:r>
        <w:t>c) Ministère chargé de l’intérieur, de l’outre-mer et des collectivités territoriales;</w:t>
      </w:r>
    </w:p>
    <w:p>
      <w:r>
        <w:t>d) Ministère chargé de la justice;</w:t>
      </w:r>
    </w:p>
    <w:p>
      <w:r>
        <w:t>e) Ministère chargé de la défense;</w:t>
      </w:r>
    </w:p>
    <w:p>
      <w:r>
        <w:t>f) Ministère chargé des affaires étrangères et européennes;</w:t>
      </w:r>
    </w:p>
    <w:p>
      <w:r>
        <w:t>g) Ministère chargé de l’éducation nationale;</w:t>
      </w:r>
    </w:p>
    <w:p>
      <w:r>
        <w:t>h) Ministère chargé de l’économie, des finances et de l’emploi;</w:t>
      </w:r>
    </w:p>
    <w:p>
      <w:r>
        <w:t>i) Secrétariat d’Etat aux transports;</w:t>
      </w:r>
    </w:p>
    <w:p>
      <w:r>
        <w:t>j) Secrétariat d’Etat aux entreprises et au commerce extérieur;</w:t>
      </w:r>
    </w:p>
    <w:p>
      <w:r>
        <w:t>k) Ministère chargé du travail, des relations sociales et de la solidarité;</w:t>
      </w:r>
    </w:p>
    <w:p>
      <w:r>
        <w:t>l) Ministère chargé de la culture et de la communication;</w:t>
      </w:r>
    </w:p>
    <w:p>
      <w:r>
        <w:t>(m)Ministère chargé du budget, des comptes publics et de la fonction</w:t>
      </w:r>
    </w:p>
    <w:p>
      <w:r>
        <w:t>publique;</w:t>
      </w:r>
    </w:p>
    <w:p>
      <w:r>
        <w:t>n) Ministère chargé de l’agriculture et de la pêche;</w:t>
      </w:r>
    </w:p>
    <w:p>
      <w:r>
        <w:t>o) Ministère chargé de l’enseignement supérieur et de la recherche;</w:t>
      </w:r>
    </w:p>
    <w:p>
      <w:r>
        <w:t>p) Ministère chargé de l’écologie, du développement et de l’aménagement durables;</w:t>
      </w:r>
    </w:p>
    <w:p>
      <w:r>
        <w:t>q) Secrétariat d’Etat à la fonction publique;</w:t>
      </w:r>
    </w:p>
    <w:p>
      <w:r>
        <w:t>r) Ministère chargé du logement et de la ville;</w:t>
      </w:r>
    </w:p>
    <w:p>
      <w:r>
        <w:t>s) Secrétariat d’Etat à la coopération et à la francophonie;</w:t>
      </w:r>
    </w:p>
    <w:p>
      <w:r>
        <w:t>t) Secrétariat d’Etat à l’outre-mer;</w:t>
      </w:r>
    </w:p>
    <w:p>
      <w:r>
        <w:t>u) Secrétariat d’Etat à la jeunesse, des sports et de la vie associative;</w:t>
      </w:r>
    </w:p>
    <w:p>
      <w:r>
        <w:t>v) Secrétariat d’Etat aux anciens combattants;</w:t>
      </w:r>
    </w:p>
    <w:p>
      <w:r>
        <w:t>(w)Ministère chargé de l’immigration, de l’intégration, de l’identité</w:t>
      </w:r>
    </w:p>
    <w:p>
      <w:r>
        <w:t>nationale et du co-développement;</w:t>
      </w:r>
    </w:p>
    <w:p>
      <w:r>
        <w:t>x) Secrétariat d’Etat en charge de la prospective et de l’évaluation des politiques publiques;</w:t>
      </w:r>
    </w:p>
    <w:p>
      <w:r>
        <w:t>y) Secrétariat d’Etat aux affaires européennes;</w:t>
      </w:r>
    </w:p>
    <w:p>
      <w:r>
        <w:t>z) Secrétariat d’Etat aux affaires étrangères et aux droits de l’homme;</w:t>
      </w:r>
    </w:p>
    <w:p>
      <w:r>
        <w:t>(aa)Secrétariat d’Etat à la consommation et au tourisme;</w:t>
      </w:r>
    </w:p>
    <w:p>
      <w:r>
        <w:t>(bb)Secrétariat d’Etat à la politique de la ville;</w:t>
      </w:r>
    </w:p>
    <w:p>
      <w:r>
        <w:t>(cc)Secrétariat d’Etat à la solidarité;</w:t>
      </w:r>
    </w:p>
    <w:p>
      <w:r>
        <w:t>(dd)Secrétariat d’Etat en charge de l’industrie et de la consommation;</w:t>
      </w:r>
    </w:p>
    <w:p>
      <w:r>
        <w:t>(ee)Secrétariat d’Etat en charge de l’emploi;</w:t>
      </w:r>
    </w:p>
    <w:p>
      <w:r>
        <w:t>(ff)Secrétariat d’Etat en charge du commerce, de l’artisanat, des PME, du</w:t>
      </w:r>
    </w:p>
    <w:p>
      <w:r>
        <w:t>tourisme et des services;</w:t>
      </w:r>
    </w:p>
    <w:p>
      <w:r>
        <w:t>(gg)Secrétariat d’Etat en charge de l’écologie;</w:t>
      </w:r>
    </w:p>
    <w:p>
      <w:r>
        <w:t>(hh)Secrétariat d’Etat en charge du développement de la région-capitale;</w:t>
      </w:r>
    </w:p>
    <w:p>
      <w:r>
        <w:t>ii) Secrétariat d’Etat en charge de l’aménagement du territoire;</w:t>
      </w:r>
    </w:p>
    <w:p>
      <w:r>
        <w:t>b) Institutions, independent authorities and jurisdictions:</w:t>
      </w:r>
    </w:p>
    <w:p>
      <w:r>
        <w:t>a) Présidence de la République;</w:t>
      </w:r>
    </w:p>
    <w:p>
      <w:r>
        <w:t>b) Assemblée Nationale;</w:t>
      </w:r>
    </w:p>
    <w:p>
      <w:r>
        <w:t>c) Sénat;</w:t>
      </w:r>
    </w:p>
    <w:p>
      <w:r>
        <w:t>d) Conseil constitutionnel;</w:t>
      </w:r>
    </w:p>
    <w:p>
      <w:r>
        <w:t>e) Conseil économique et social;</w:t>
      </w:r>
    </w:p>
    <w:p>
      <w:r>
        <w:t>f) Conseil supérieur de la magistrature;</w:t>
      </w:r>
    </w:p>
    <w:p>
      <w:r>
        <w:t>g) Agence française contre le dopage;</w:t>
      </w:r>
    </w:p>
    <w:p>
      <w:r>
        <w:t>h) Autorité de contrôle des assurances et des mutuelles;</w:t>
      </w:r>
    </w:p>
    <w:p>
      <w:r>
        <w:t>i) Autorité de contrôle des nuisances sonores aéroportuaires;</w:t>
      </w:r>
    </w:p>
    <w:p>
      <w:r>
        <w:t>j) Autorité de régulation des communications électroniques et des postes;</w:t>
      </w:r>
    </w:p>
    <w:p>
      <w:r>
        <w:t>k) Autorité de sûreté nucléaire;</w:t>
      </w:r>
    </w:p>
    <w:p>
      <w:r>
        <w:t>l) Autorité indépendante des marchés financiers;</w:t>
      </w:r>
    </w:p>
    <w:p>
      <w:r>
        <w:t>(m)Comité national d’évaluation des établissements publics à caractère</w:t>
      </w:r>
    </w:p>
    <w:p>
      <w:r>
        <w:t>scientifique, culturel et professionnel;</w:t>
      </w:r>
    </w:p>
    <w:p>
      <w:r>
        <w:t>n) Commission d’accès aux documents administratifs;</w:t>
      </w:r>
    </w:p>
    <w:p>
      <w:r>
        <w:t>o) Commission consultative du secret de la défense nationale;</w:t>
      </w:r>
    </w:p>
    <w:p>
      <w:r>
        <w:t>p) Commission nationale des comptes de campagne et des financements politiques;</w:t>
      </w:r>
    </w:p>
    <w:p>
      <w:r>
        <w:t>q) Commission nationale de contrôle des interceptions de sécurité;</w:t>
      </w:r>
    </w:p>
    <w:p>
      <w:r>
        <w:t>r) Commission nationale de déontologie de la sécurité;</w:t>
      </w:r>
    </w:p>
    <w:p>
      <w:r>
        <w:t>s) Commission nationale du débat public;</w:t>
      </w:r>
    </w:p>
    <w:p>
      <w:r>
        <w:t>t) Commission nationale de l’informatique et des libertés;</w:t>
      </w:r>
    </w:p>
    <w:p>
      <w:r>
        <w:t>u) Commission des participations et des transferts;</w:t>
      </w:r>
    </w:p>
    <w:p>
      <w:r>
        <w:t>v) Commission de régulation de l’énergie;</w:t>
      </w:r>
    </w:p>
    <w:p>
      <w:r>
        <w:t>(w)Commission de la sécurité des consommateurs;</w:t>
      </w:r>
    </w:p>
    <w:p>
      <w:r>
        <w:t>x) Commission des sondages;</w:t>
      </w:r>
    </w:p>
    <w:p>
      <w:r>
        <w:t>y) Commission de la transparence financière de la vie politique;</w:t>
      </w:r>
    </w:p>
    <w:p>
      <w:r>
        <w:t>z) Conseil de la concurrence;</w:t>
      </w:r>
    </w:p>
    <w:p>
      <w:r>
        <w:t>(aa)Conseil des ventes volontaires de meubles aux enchères publiques;</w:t>
      </w:r>
    </w:p>
    <w:p>
      <w:r>
        <w:t>(bb)Conseil supérieur de l’audiovisuel;</w:t>
      </w:r>
    </w:p>
    <w:p>
      <w:r>
        <w:t>(cc)Défenseur des enfants;</w:t>
      </w:r>
    </w:p>
    <w:p>
      <w:r>
        <w:t>(dd)Haute autorité de lutte contre les discriminations et pour l’égalité;</w:t>
      </w:r>
    </w:p>
    <w:p>
      <w:r>
        <w:t>(ee)Haute autorité de santé;</w:t>
      </w:r>
    </w:p>
    <w:p>
      <w:r>
        <w:t>(ff)Médiateur de la République;</w:t>
      </w:r>
    </w:p>
    <w:p>
      <w:r>
        <w:t>(gg)Cour de justice de la République;</w:t>
      </w:r>
    </w:p>
    <w:p>
      <w:r>
        <w:t>(hh)Tribunal des Conflits;</w:t>
      </w:r>
    </w:p>
    <w:p>
      <w:r>
        <w:t>ii) Conseil d’Etat;</w:t>
      </w:r>
    </w:p>
    <w:p>
      <w:r>
        <w:t>(jj) Cours administratives d’appel;</w:t>
      </w:r>
    </w:p>
    <w:p>
      <w:r>
        <w:t>(kk)Tribunaux administratifs;</w:t>
      </w:r>
    </w:p>
    <w:p>
      <w:r>
        <w:t>(ll) Cour des Comptes;</w:t>
      </w:r>
    </w:p>
    <w:p>
      <w:r>
        <w:t>(mm)Chambres régionales des Comptes;</w:t>
      </w:r>
    </w:p>
    <w:p>
      <w:r>
        <w:t>(nn)Cours et tribunaux de l’ordre judiciaire (Cour de Cassation, Cours</w:t>
      </w:r>
    </w:p>
    <w:p>
      <w:r>
        <w:t>d’Appel, Tribunaux d’instance et Tribunaux de grande instance);</w:t>
      </w:r>
    </w:p>
    <w:p>
      <w:r>
        <w:t>c) National public establishments:</w:t>
      </w:r>
    </w:p>
    <w:p>
      <w:r>
        <w:t>a) Académie de France à Rome;</w:t>
      </w:r>
    </w:p>
    <w:p>
      <w:r>
        <w:t>b) Académie de marine;</w:t>
      </w:r>
    </w:p>
    <w:p>
      <w:r>
        <w:t>c) Académie des sciences d’outre-mer;</w:t>
      </w:r>
    </w:p>
    <w:p>
      <w:r>
        <w:t>d) Académie des technologies;</w:t>
      </w:r>
    </w:p>
    <w:p>
      <w:r>
        <w:t>e) Agence centrale des organismes de sécurité sociale (ACOSS);</w:t>
      </w:r>
    </w:p>
    <w:p>
      <w:r>
        <w:t>f) Agence de biomédicine;</w:t>
      </w:r>
    </w:p>
    <w:p>
      <w:r>
        <w:t>g) Agence pour l’enseignement du français à l’étranger;</w:t>
      </w:r>
    </w:p>
    <w:p>
      <w:r>
        <w:t>h) Agence française de sécurité sanitaire des aliments;</w:t>
      </w:r>
    </w:p>
    <w:p>
      <w:r>
        <w:t>i) Agence française de sécurité sanitaire de l’environnement et du travail;</w:t>
      </w:r>
    </w:p>
    <w:p>
      <w:r>
        <w:t>j) Agence Nationale pour la cohésion sociale et l’égalité des chances;</w:t>
      </w:r>
    </w:p>
    <w:p>
      <w:r>
        <w:t>k) Agence nationale pour la garantie des droits des mineurs;</w:t>
      </w:r>
    </w:p>
    <w:p>
      <w:r>
        <w:t>l) Agences de l’eau;</w:t>
      </w:r>
    </w:p>
    <w:p>
      <w:r>
        <w:t>(m)Agence Nationale de l’Accueil des Etrangers et des migrations;</w:t>
      </w:r>
    </w:p>
    <w:p>
      <w:r>
        <w:t>n) Agence nationale pour l’amélioration des conditions de travail (ANACT);</w:t>
      </w:r>
    </w:p>
    <w:p>
      <w:r>
        <w:t>o) Agence nationale pour l’amélioration de l’habitat (ANAH);</w:t>
      </w:r>
    </w:p>
    <w:p>
      <w:r>
        <w:t>p) Agence Nationale pour la Cohésion Sociale et l’Egalité des Chances;</w:t>
      </w:r>
    </w:p>
    <w:p>
      <w:r>
        <w:t>q) Agence nationale pour l’indemnisation des français d’outre-mer (ANIFOM);</w:t>
      </w:r>
    </w:p>
    <w:p>
      <w:r>
        <w:t>r) Assemblée permanente des chambres d’agriculture (APCA);</w:t>
      </w:r>
    </w:p>
    <w:p>
      <w:r>
        <w:t>s) Bibliothèque publique d’information;</w:t>
      </w:r>
    </w:p>
    <w:p>
      <w:r>
        <w:t>t) Bibliothèque nationale de France;</w:t>
      </w:r>
    </w:p>
    <w:p>
      <w:r>
        <w:t>u) Bibliothèque nationale et universitaire de Strasbourg;</w:t>
      </w:r>
    </w:p>
    <w:p>
      <w:r>
        <w:t>v) Caisse des Dépôts et Consignations;</w:t>
      </w:r>
    </w:p>
    <w:p>
      <w:r>
        <w:t>(w)Caisse nationale des autoroutes (CNA);</w:t>
      </w:r>
    </w:p>
    <w:p>
      <w:r>
        <w:t>x) Caisse nationale militaire de sécurité sociale (CNMSS);</w:t>
      </w:r>
    </w:p>
    <w:p>
      <w:r>
        <w:t>y) Caisse de garantie du logement locatif social;</w:t>
      </w:r>
    </w:p>
    <w:p>
      <w:r>
        <w:t>z) Casa de Velasquez;</w:t>
      </w:r>
    </w:p>
    <w:p>
      <w:r>
        <w:t>(aa)Centre d’enseignement zootechnique;</w:t>
      </w:r>
    </w:p>
    <w:p>
      <w:r>
        <w:t>(bb)Centre d’études de l’emploi;</w:t>
      </w:r>
    </w:p>
    <w:p>
      <w:r>
        <w:t>(cc)Centre d’études supérieures de la sécurité sociale;</w:t>
      </w:r>
    </w:p>
    <w:p>
      <w:r>
        <w:t>(dd)Centres de formation professionnelle et de promotion agricole;</w:t>
      </w:r>
    </w:p>
    <w:p>
      <w:r>
        <w:t>(ee)Centre hospitalier des Quinze-Vingts;</w:t>
      </w:r>
    </w:p>
    <w:p>
      <w:r>
        <w:t>(ff)Centre international d’études supérieures en sciences agronomiques</w:t>
      </w:r>
    </w:p>
    <w:p>
      <w:r>
        <w:t>(Montpellier Sup Agro);</w:t>
      </w:r>
    </w:p>
    <w:p>
      <w:r>
        <w:t>(gg)Centre des liaisons européennes et internationales de sécurité sociale;</w:t>
      </w:r>
    </w:p>
    <w:p>
      <w:r>
        <w:t>(hh)Centre des Monuments Nationaux;</w:t>
      </w:r>
    </w:p>
    <w:p>
      <w:r>
        <w:t>ii) Centre national d’art et de culture Georges Pompidou;</w:t>
      </w:r>
    </w:p>
    <w:p>
      <w:r>
        <w:t>(jj) Centre national des arts plastiques;</w:t>
      </w:r>
    </w:p>
    <w:p>
      <w:r>
        <w:t>(kk)Centre national de la cinématographie;</w:t>
      </w:r>
    </w:p>
    <w:p>
      <w:r>
        <w:t>(ll) Centre National d’Etudes et d’expérimentation du machinisme agricole, du génie rural, des eaux et des forêts (CEMAGREF);</w:t>
      </w:r>
    </w:p>
    <w:p>
      <w:r>
        <w:t>(mm)Centre national du livre;</w:t>
      </w:r>
    </w:p>
    <w:p>
      <w:r>
        <w:t>(nn)Centre national de documentation pédagogique;</w:t>
      </w:r>
    </w:p>
    <w:p>
      <w:r>
        <w:t>(oo)Centre national des œuvres universitaires et scolaires (CNOUS);</w:t>
      </w:r>
    </w:p>
    <w:p>
      <w:r>
        <w:t>(pp)Centre national professionnel de la propriété forestière;</w:t>
      </w:r>
    </w:p>
    <w:p>
      <w:r>
        <w:t>(qq)Centre National de la Recherche Scientifique (C.N.R.S);</w:t>
      </w:r>
    </w:p>
    <w:p>
      <w:r>
        <w:t>(rr)Centres d’éducation populaire et de sport (CREPS);</w:t>
      </w:r>
    </w:p>
    <w:p>
      <w:r>
        <w:t>(ss)Centres régionaux des œuvres universitaires (CROUS);</w:t>
      </w:r>
    </w:p>
    <w:p>
      <w:r>
        <w:t>(tt) Collège de France;</w:t>
      </w:r>
    </w:p>
    <w:p>
      <w:r>
        <w:t>(uu)Conservatoire de l’espace littoral et des rivages lacustres;</w:t>
      </w:r>
    </w:p>
    <w:p>
      <w:r>
        <w:t>(vv)Conservatoire National des Arts et Métiers;</w:t>
      </w:r>
    </w:p>
    <w:p>
      <w:r>
        <w:t>(ww)Conservatoire national supérieur de musique et de danse de Paris;</w:t>
      </w:r>
    </w:p>
    <w:p>
      <w:r>
        <w:t>(xx)Conservatoire national supérieur de musique et de danse de Lyon;</w:t>
      </w:r>
    </w:p>
    <w:p>
      <w:r>
        <w:t>(yy)Conservatoire national supérieur d’art dramatique;</w:t>
      </w:r>
    </w:p>
    <w:p>
      <w:r>
        <w:t>(zz)Ecole centrale de Lille;</w:t>
      </w:r>
    </w:p>
    <w:p>
      <w:r>
        <w:t>(aaa)Ecole centrale de Lyon;</w:t>
      </w:r>
    </w:p>
    <w:p>
      <w:r>
        <w:t>(bbb)École centrale des arts et manufactures;</w:t>
      </w:r>
    </w:p>
    <w:p>
      <w:r>
        <w:t>(ccc)École française d’archéologie d’Athènes;</w:t>
      </w:r>
    </w:p>
    <w:p>
      <w:r>
        <w:t>(ddd)École française d’Extrême-Orient;</w:t>
      </w:r>
    </w:p>
    <w:p>
      <w:r>
        <w:t>(eee)École française de Rome;</w:t>
      </w:r>
    </w:p>
    <w:p>
      <w:r>
        <w:t>(fff)École des hautes études en sciences sociales;</w:t>
      </w:r>
    </w:p>
    <w:p>
      <w:r>
        <w:t>(ggg)Ecole du Louvre;</w:t>
      </w:r>
    </w:p>
    <w:p>
      <w:r>
        <w:t>(hhh)École nationale d’administration;</w:t>
      </w:r>
    </w:p>
    <w:p>
      <w:r>
        <w:t>(iii)École nationale de l’aviation civile (ENAC);</w:t>
      </w:r>
    </w:p>
    <w:p>
      <w:r>
        <w:t>(jjj)École nationale des Chartes;</w:t>
      </w:r>
    </w:p>
    <w:p>
      <w:r>
        <w:t>(kkk)École nationale d’équitation;</w:t>
      </w:r>
    </w:p>
    <w:p>
      <w:r>
        <w:t>(lll)Ecole Nationale du Génie de l’Eau et de l’environnement de Strasbourg;</w:t>
      </w:r>
    </w:p>
    <w:p>
      <w:r>
        <w:t>(mmm)Écoles nationales d’ingénieurs;</w:t>
      </w:r>
    </w:p>
    <w:p>
      <w:r>
        <w:t>(nnn)Ecole nationale d’ingénieurs des industries des techniques agricoles et</w:t>
      </w:r>
    </w:p>
    <w:p>
      <w:r>
        <w:t>alimentaires de Nantes;</w:t>
      </w:r>
    </w:p>
    <w:p>
      <w:r>
        <w:t>(ooo)Écoles nationales d’ingénieurs des travaux agricoles;</w:t>
      </w:r>
    </w:p>
    <w:p>
      <w:r>
        <w:t>(ppp)École nationale de la magistrature;</w:t>
      </w:r>
    </w:p>
    <w:p>
      <w:r>
        <w:t>(qqq)Écoles nationales de la marine marchande;</w:t>
      </w:r>
    </w:p>
    <w:p>
      <w:r>
        <w:t>(rrr)École nationale de la santé publique (ENSP);</w:t>
      </w:r>
    </w:p>
    <w:p>
      <w:r>
        <w:t>(sss)École nationale de ski et d’alpinisme;</w:t>
      </w:r>
    </w:p>
    <w:p>
      <w:r>
        <w:t>(ttt)École nationale supérieure des arts décoratifs;</w:t>
      </w:r>
    </w:p>
    <w:p>
      <w:r>
        <w:t>(uuu)École nationale supérieure des arts et techniques du théâtre;</w:t>
      </w:r>
    </w:p>
    <w:p>
      <w:r>
        <w:t>(vvv)École nationale supérieure des arts et industries textiles Roubaix;</w:t>
      </w:r>
    </w:p>
    <w:p>
      <w:r>
        <w:t>(www)Écoles nationales supérieures d’arts et métiers;</w:t>
      </w:r>
    </w:p>
    <w:p>
      <w:r>
        <w:t>(xxx)École nationale supérieure des beaux-arts;</w:t>
      </w:r>
    </w:p>
    <w:p>
      <w:r>
        <w:t>(yyy)École nationale supérieure de céramique industrielle;</w:t>
      </w:r>
    </w:p>
    <w:p>
      <w:r>
        <w:t>(zzz)École nationale supérieure de l’électronique et de ses applications</w:t>
      </w:r>
    </w:p>
    <w:p>
      <w:r>
        <w:t>(ENSEA);</w:t>
      </w:r>
    </w:p>
    <w:p>
      <w:r>
        <w:t>(aaaa)Ecole nationale supérieure du paysage de Versailles;</w:t>
      </w:r>
    </w:p>
    <w:p>
      <w:r>
        <w:t>(bbbb)Ecole Nationale Supérieure des Sciences de l’information et des</w:t>
      </w:r>
    </w:p>
    <w:p>
      <w:r>
        <w:t>bibliothécaires;</w:t>
      </w:r>
    </w:p>
    <w:p>
      <w:r>
        <w:t>(cccc)Ecole nationale supérieure de la sécurité sociale;</w:t>
      </w:r>
    </w:p>
    <w:p>
      <w:r>
        <w:t>(dddd)Écoles nationales vétérinaires;</w:t>
      </w:r>
    </w:p>
    <w:p>
      <w:r>
        <w:t>(eeee)École nationale de voile;</w:t>
      </w:r>
    </w:p>
    <w:p>
      <w:r>
        <w:t>(ffff)Écoles normales supérieures;</w:t>
      </w:r>
    </w:p>
    <w:p>
      <w:r>
        <w:t>(gggg)École polytechnique;</w:t>
      </w:r>
    </w:p>
    <w:p>
      <w:r>
        <w:t>(hhhh)École technique professionnelle agricole et forestière de Meymac</w:t>
      </w:r>
    </w:p>
    <w:p>
      <w:r>
        <w:t>(Corrèze);</w:t>
      </w:r>
    </w:p>
    <w:p>
      <w:r>
        <w:t>(iiii)École de sylviculture Crogny (Aube);</w:t>
      </w:r>
    </w:p>
    <w:p>
      <w:r>
        <w:t>(jjjj)École de viticulture et d’œnologie de la Tour- Blanche (Gironde);</w:t>
      </w:r>
    </w:p>
    <w:p>
      <w:r>
        <w:t>(kkkk)École de viticulture — Avize (Marne);</w:t>
      </w:r>
    </w:p>
    <w:p>
      <w:r>
        <w:t>(llll)Etablissement national d’enseignement agronomique de Dijon;</w:t>
      </w:r>
    </w:p>
    <w:p>
      <w:r>
        <w:t>(mmmm) Établissement national des invalides de la marine (ENIM);</w:t>
      </w:r>
    </w:p>
    <w:p>
      <w:r>
        <w:t>(nnnn)Établissement national de bienfaisance Koenigswarter;</w:t>
      </w:r>
    </w:p>
    <w:p>
      <w:r>
        <w:t>(oooo)Établissement public du musée et du domaine national de Versailles;</w:t>
      </w:r>
    </w:p>
    <w:p>
      <w:r>
        <w:t>(pppp)Fondation Carnegie;</w:t>
      </w:r>
    </w:p>
    <w:p>
      <w:r>
        <w:t>(qqqq)Fondation Singer-Polignac;</w:t>
      </w:r>
    </w:p>
    <w:p>
      <w:r>
        <w:t>(rrrr)Haras nationaux;</w:t>
      </w:r>
    </w:p>
    <w:p>
      <w:r>
        <w:t>(ssss)Hôpital national de Saint-Maurice;</w:t>
      </w:r>
    </w:p>
    <w:p>
      <w:r>
        <w:t>(tttt)Institut des hautes études pour la science et la technologie;</w:t>
      </w:r>
    </w:p>
    <w:p>
      <w:r>
        <w:t>(uuuu)Institut français d’archéologie orientale du Caire;</w:t>
      </w:r>
    </w:p>
    <w:p>
      <w:r>
        <w:t>(vvvv)Institut géographique national;</w:t>
      </w:r>
    </w:p>
    <w:p>
      <w:r>
        <w:t>(wwww) Institut National de l’origine et de la qualité;</w:t>
      </w:r>
    </w:p>
    <w:p>
      <w:r>
        <w:t>(xxxx)Institut national des hautes études de sécurité;</w:t>
      </w:r>
    </w:p>
    <w:p>
      <w:r>
        <w:t>(yyyy)Institut de veille sanitaire;</w:t>
      </w:r>
    </w:p>
    <w:p>
      <w:r>
        <w:t>(zzzz)Institut National d’enseignement supérieur et de recherche</w:t>
      </w:r>
    </w:p>
    <w:p>
      <w:r>
        <w:t>agronomique et agroalimentaire de Rennes;</w:t>
      </w:r>
    </w:p>
    <w:p>
      <w:r>
        <w:t>(aaaaa)Institut National d’Etudes Démographiques (I.N.E.D);</w:t>
      </w:r>
    </w:p>
    <w:p>
      <w:r>
        <w:t>(bbbbb) Institut National d’Horticulture;</w:t>
      </w:r>
    </w:p>
    <w:p>
      <w:r>
        <w:t>(ccccc)Institut National de la jeunesse et de l’éducation populaire;</w:t>
      </w:r>
    </w:p>
    <w:p>
      <w:r>
        <w:t>(ddddd) Institut national des jeunes aveugles — Paris;</w:t>
      </w:r>
    </w:p>
    <w:p>
      <w:r>
        <w:t>(eeeee)Institut national des jeunes sourds — Bordeaux;</w:t>
      </w:r>
    </w:p>
    <w:p>
      <w:r>
        <w:t>(fffff)Institut national des jeunes sourds — Chambéry;</w:t>
      </w:r>
    </w:p>
    <w:p>
      <w:r>
        <w:t>(ggggg) Institut national des jeunes sourds — Metz;</w:t>
      </w:r>
    </w:p>
    <w:p>
      <w:r>
        <w:t>(hhhhh) Institut national des jeunes sourds — Paris;</w:t>
      </w:r>
    </w:p>
    <w:p>
      <w:r>
        <w:t>(iiiii)Institut national de physique nucléaire et de physique des particules</w:t>
      </w:r>
    </w:p>
    <w:p>
      <w:r>
        <w:t>(I.N.P.N.P.P);</w:t>
      </w:r>
    </w:p>
    <w:p>
      <w:r>
        <w:t>(jjjjj)Institut national de la propriété industrielle;</w:t>
      </w:r>
    </w:p>
    <w:p>
      <w:r>
        <w:t>(kkkkk) Institut National de la Recherche Agronomique (I.N.R.A);</w:t>
      </w:r>
    </w:p>
    <w:p>
      <w:r>
        <w:t>(lllll)Institut National de la Recherche Pédagogique (I.N.R.P);</w:t>
      </w:r>
    </w:p>
    <w:p>
      <w:r>
        <w:t>(mmmmm) Institut National de la Santé et de la Recherche Médicale</w:t>
      </w:r>
    </w:p>
    <w:p>
      <w:r>
        <w:t>(I.N.S.E.R.M);</w:t>
      </w:r>
    </w:p>
    <w:p>
      <w:r>
        <w:t>(nnnnn) Institut national d’histoire de l’art (I.N.H.A.);</w:t>
      </w:r>
    </w:p>
    <w:p>
      <w:r>
        <w:t>(ooooo) Institut national de recherches archéologiques préventives;</w:t>
      </w:r>
    </w:p>
    <w:p>
      <w:r>
        <w:t>(ppppp) Institut National des Sciences de l’Univers;</w:t>
      </w:r>
    </w:p>
    <w:p>
      <w:r>
        <w:t>(qqqqq) Institut National des Sports et de l’Education Physique;</w:t>
      </w:r>
    </w:p>
    <w:p>
      <w:r>
        <w:t>(rrrrr)Institut national supérieur de formation et de recherche pour l’éducation</w:t>
      </w:r>
    </w:p>
    <w:p>
      <w:r>
        <w:t>des jeunes handicapés et les enseignements inadaptés;</w:t>
      </w:r>
    </w:p>
    <w:p>
      <w:r>
        <w:t>(sssss)Instituts nationaux polytechniques;</w:t>
      </w:r>
    </w:p>
    <w:p>
      <w:r>
        <w:t>(ttttt)Instituts nationaux des sciences appliquées;</w:t>
      </w:r>
    </w:p>
    <w:p>
      <w:r>
        <w:t>(uuuuu) Institut national de recherche en informatique et en automatique</w:t>
      </w:r>
    </w:p>
    <w:p>
      <w:r>
        <w:t>(INRIA);</w:t>
      </w:r>
    </w:p>
    <w:p>
      <w:r>
        <w:t>(vvvvv) Institut national de recherche sur les transports et leur sécurité</w:t>
      </w:r>
    </w:p>
    <w:p>
      <w:r>
        <w:t>(INRETS);</w:t>
      </w:r>
    </w:p>
    <w:p>
      <w:r>
        <w:t>(wwwww) Institut de Recherche pour le Développement;</w:t>
      </w:r>
    </w:p>
    <w:p>
      <w:r>
        <w:t>(xxxxx) Instituts régionaux d’administration;</w:t>
      </w:r>
    </w:p>
    <w:p>
      <w:r>
        <w:t>(yyyyy) Institut des Sciences et des Industries du vivant et de</w:t>
      </w:r>
    </w:p>
    <w:p>
      <w:r>
        <w:t>l’environnement (Agro Paris Tech);</w:t>
      </w:r>
    </w:p>
    <w:p>
      <w:r>
        <w:t>(zzzzz)Institut supérieur de mécanique de Paris;</w:t>
      </w:r>
    </w:p>
    <w:p>
      <w:r>
        <w:t>(aaaaaa) Institut Universitaires de Formation des Maîtres;</w:t>
      </w:r>
    </w:p>
    <w:p>
      <w:r>
        <w:t>(bbbbbb) Musée de l’armée;</w:t>
      </w:r>
    </w:p>
    <w:p>
      <w:r>
        <w:t>(cccccc) Musée Gustave-Moreau;</w:t>
      </w:r>
    </w:p>
    <w:p>
      <w:r>
        <w:t>(dddddd) Musée national de la marine;</w:t>
      </w:r>
    </w:p>
    <w:p>
      <w:r>
        <w:t>(eeeeee) Musée national J.-J.-Henner;</w:t>
      </w:r>
    </w:p>
    <w:p>
      <w:r>
        <w:t>(ffffff)Musée du Louvre;</w:t>
      </w:r>
    </w:p>
    <w:p>
      <w:r>
        <w:t>(gggggg) Musée du Quai Branly;</w:t>
      </w:r>
    </w:p>
    <w:p>
      <w:r>
        <w:t>(hhhhhh) Muséum National d’Histoire Naturelle;</w:t>
      </w:r>
    </w:p>
    <w:p>
      <w:r>
        <w:t>(iiiiii)Musée Auguste-Rodin;</w:t>
      </w:r>
    </w:p>
    <w:p>
      <w:r>
        <w:t>(jjjjjj)Observatoire de Paris;</w:t>
      </w:r>
    </w:p>
    <w:p>
      <w:r>
        <w:t>(kkkkkk) Office français de protection des réfugiés et apatrides;</w:t>
      </w:r>
    </w:p>
    <w:p>
      <w:r>
        <w:t>(llllll)Office National des Anciens Combattants et des Victimes de Guerre</w:t>
      </w:r>
    </w:p>
    <w:p>
      <w:r>
        <w:t>(ONAC);</w:t>
      </w:r>
    </w:p>
    <w:p>
      <w:r>
        <w:t>(mmmmmm)Office national de la chasse et de la faune sauvage;</w:t>
      </w:r>
    </w:p>
    <w:p>
      <w:r>
        <w:t>(nnnnnn) Office National de l’eau et des milieux aquatiques;</w:t>
      </w:r>
    </w:p>
    <w:p>
      <w:r>
        <w:t>(oooooo) Office national d’information sur les enseignements et les</w:t>
      </w:r>
    </w:p>
    <w:p>
      <w:r>
        <w:t>professions (ONISEP);</w:t>
      </w:r>
    </w:p>
    <w:p>
      <w:r>
        <w:t>(pppppp) Office universitaire et culturel français pour l’Algérie;</w:t>
      </w:r>
    </w:p>
    <w:p>
      <w:r>
        <w:t>(qqqqqq) Ordre national de la Légion d’honneur;</w:t>
      </w:r>
    </w:p>
    <w:p>
      <w:r>
        <w:t>(rrrrrr)Palais de la découverte;</w:t>
      </w:r>
    </w:p>
    <w:p>
      <w:r>
        <w:t>(ssssss)Parcs nationaux;</w:t>
      </w:r>
    </w:p>
    <w:p>
      <w:r>
        <w:t>(tttttt)Universités;</w:t>
      </w:r>
    </w:p>
    <w:p>
      <w:r>
        <w:t>d) Other national public bodies:</w:t>
      </w:r>
    </w:p>
    <w:p>
      <w:r>
        <w:t>a) Union des groupements d’achats publics (UGAP);</w:t>
      </w:r>
    </w:p>
    <w:p>
      <w:r>
        <w:t>b) Agence Nationale pour l’emploi (A.N.P.E);</w:t>
      </w:r>
    </w:p>
    <w:p>
      <w:r>
        <w:t>c) Caisse Nationale des Allocations Familiales (CNAF);</w:t>
      </w:r>
    </w:p>
    <w:p>
      <w:r>
        <w:t>d) Caisse Nationale d’Assurance Maladie des Travailleurs Salariés (CNAMS);</w:t>
      </w:r>
    </w:p>
    <w:p>
      <w:r>
        <w:t>e) Caisse Nationale d’Assurance-Vieillesse des Travailleurs Salariés (CNAVTS).</w:t>
      </w:r>
    </w:p>
    <w:p>
      <w:r>
        <w:t>(11) CROATIA</w:t>
      </w:r>
    </w:p>
    <w:p>
      <w:r>
        <w:t>a) Hrvatski sabor;</w:t>
      </w:r>
    </w:p>
    <w:p>
      <w:r>
        <w:t>b) Predsjednik Republike Hrvatske;</w:t>
      </w:r>
    </w:p>
    <w:p>
      <w:r>
        <w:t>c) Ured predsjednika Republike Hrvatske;</w:t>
      </w:r>
    </w:p>
    <w:p>
      <w:r>
        <w:t>d) Ured predsjednika Republike Hrvatske po prestanku obnašanja dužnosti;</w:t>
      </w:r>
    </w:p>
    <w:p>
      <w:r>
        <w:t>e) Vlada Republike Hrvatske;</w:t>
      </w:r>
    </w:p>
    <w:p>
      <w:r>
        <w:t>f) uredi Vlade Republike Hrvatske;</w:t>
      </w:r>
    </w:p>
    <w:p>
      <w:r>
        <w:t>g) Ministarstvo gospodarstva;</w:t>
      </w:r>
    </w:p>
    <w:p>
      <w:r>
        <w:t>h) Ministarstvo regionalnog razvoja i fondova Europske unije;</w:t>
      </w:r>
    </w:p>
    <w:p>
      <w:r>
        <w:t>i) Ministarstvo financija;</w:t>
      </w:r>
    </w:p>
    <w:p>
      <w:r>
        <w:t>j) Ministarstvo obrane;</w:t>
      </w:r>
    </w:p>
    <w:p>
      <w:r>
        <w:t>k) Ministarstvo vanjskih i europskih poslova;</w:t>
      </w:r>
    </w:p>
    <w:p>
      <w:r>
        <w:t>l) Ministarstvo unutarnjih poslova;</w:t>
      </w:r>
    </w:p>
    <w:p>
      <w:r>
        <w:t>(m)Ministarstvo pravosuđa;</w:t>
      </w:r>
    </w:p>
    <w:p>
      <w:r>
        <w:t>n) Ministarstvo uprave;</w:t>
      </w:r>
    </w:p>
    <w:p>
      <w:r>
        <w:t>o) Ministarstvo poduzetništva i obrta;</w:t>
      </w:r>
    </w:p>
    <w:p>
      <w:r>
        <w:t>p) Ministarstvo rada i mirovinskog sustava;</w:t>
      </w:r>
    </w:p>
    <w:p>
      <w:r>
        <w:t>q) Ministarstvo pomorstva, prometa i infrastrukture;</w:t>
      </w:r>
    </w:p>
    <w:p>
      <w:r>
        <w:t>r) Ministarstvo poljoprivrede;</w:t>
      </w:r>
    </w:p>
    <w:p>
      <w:r>
        <w:t>s) Ministarstvo turizma;</w:t>
      </w:r>
    </w:p>
    <w:p>
      <w:r>
        <w:t>t) Ministarstvo zaštite okoliša i prirode;</w:t>
      </w:r>
    </w:p>
    <w:p>
      <w:r>
        <w:t>u) Ministarstvo graditeljstva i prostornog uređenja;</w:t>
      </w:r>
    </w:p>
    <w:p>
      <w:r>
        <w:t>v) Ministarstvo branitelja;</w:t>
      </w:r>
    </w:p>
    <w:p>
      <w:r>
        <w:t>(w)Ministarstvo socijalne politike i mladih;</w:t>
      </w:r>
    </w:p>
    <w:p>
      <w:r>
        <w:t>x) Ministarstvo zdravlja;</w:t>
      </w:r>
    </w:p>
    <w:p>
      <w:r>
        <w:t>y) Ministarstvo znanosti, obrazovanja i sporta;</w:t>
      </w:r>
    </w:p>
    <w:p>
      <w:r>
        <w:t>z) Ministarstvo kulture;</w:t>
      </w:r>
    </w:p>
    <w:p>
      <w:r>
        <w:t>a) državne upravne organizacije;</w:t>
      </w:r>
    </w:p>
    <w:p>
      <w:r>
        <w:t>b) uredi državne uprave u županijama;</w:t>
      </w:r>
    </w:p>
    <w:p>
      <w:r>
        <w:t>c) Ustavni sud Republike Hrvatske;</w:t>
      </w:r>
    </w:p>
    <w:p>
      <w:r>
        <w:t>d) Vrhovni sud Republike Hrvatske;</w:t>
      </w:r>
    </w:p>
    <w:p>
      <w:r>
        <w:t>e) sudovi;</w:t>
      </w:r>
    </w:p>
    <w:p>
      <w:r>
        <w:t>f) Državno sudbeno vijeće;</w:t>
      </w:r>
    </w:p>
    <w:p>
      <w:r>
        <w:t>g) državna odvjetništva;</w:t>
      </w:r>
    </w:p>
    <w:p>
      <w:r>
        <w:t>h) Državnoodvjetničko vijeće;</w:t>
      </w:r>
    </w:p>
    <w:p>
      <w:r>
        <w:t>i) pravobraniteljstva;</w:t>
      </w:r>
    </w:p>
    <w:p>
      <w:r>
        <w:t>j) Državna komisija za kontrolu postupaka javne nabave;</w:t>
      </w:r>
    </w:p>
    <w:p>
      <w:r>
        <w:t>k) Hrvatska narodna banka;</w:t>
      </w:r>
    </w:p>
    <w:p>
      <w:r>
        <w:t>l) državne agencije i uredi;</w:t>
      </w:r>
    </w:p>
    <w:p>
      <w:r>
        <w:t>(m)Državni ured za reviziju.</w:t>
      </w:r>
    </w:p>
    <w:p>
      <w:r>
        <w:t>(12) ITALY</w:t>
      </w:r>
    </w:p>
    <w:p>
      <w:r>
        <w:t>a) Purchasing bodies:</w:t>
      </w:r>
    </w:p>
    <w:p>
      <w:r>
        <w:t>a) Presidenza del Consiglio dei Ministri;</w:t>
      </w:r>
    </w:p>
    <w:p>
      <w:r>
        <w:t>b) Ministero degli Affari Esteri;</w:t>
      </w:r>
    </w:p>
    <w:p>
      <w:r>
        <w:t>c) Ministero dell’Interno;</w:t>
      </w:r>
    </w:p>
    <w:p>
      <w:r>
        <w:t>d) Ministero della Giustizia e Uffici giudiziari (esclusi i giudici di pace);</w:t>
      </w:r>
    </w:p>
    <w:p>
      <w:r>
        <w:t>e) Ministero della Difesa;</w:t>
      </w:r>
    </w:p>
    <w:p>
      <w:r>
        <w:t>f) Ministero dell’Economia e delle Finanze;</w:t>
      </w:r>
    </w:p>
    <w:p>
      <w:r>
        <w:t>g) Ministero dello Sviluppo Economico;</w:t>
      </w:r>
    </w:p>
    <w:p>
      <w:r>
        <w:t>h) Ministero delle Politiche Agricole, Alimentari e Forestali;</w:t>
      </w:r>
    </w:p>
    <w:p>
      <w:r>
        <w:t>i) Ministero dell’Ambiente, Tutela del Territorio e del Mare;</w:t>
      </w:r>
    </w:p>
    <w:p>
      <w:r>
        <w:t>j) Ministero delle Infrastrutture e dei Trasporti;</w:t>
      </w:r>
    </w:p>
    <w:p>
      <w:r>
        <w:t>k) Ministero del Lavoro, della Salute e delle Politiche Sociali;</w:t>
      </w:r>
    </w:p>
    <w:p>
      <w:r>
        <w:t>l) Ministero dell’Istruzione, Università e Ricerca;</w:t>
      </w:r>
    </w:p>
    <w:p>
      <w:r>
        <w:t>(m)Ministero per i Beni e le Attività culturali, comprensivo delle sue</w:t>
      </w:r>
    </w:p>
    <w:p>
      <w:r>
        <w:t>articolazioni periferiche;</w:t>
      </w:r>
    </w:p>
    <w:p>
      <w:r>
        <w:t>b) Other national public bodies:</w:t>
      </w:r>
    </w:p>
    <w:p>
      <w:r>
        <w:t>a) CONSIP (Concessionaria Servizi Informatici Pubblici) .</w:t>
      </w:r>
    </w:p>
    <w:p>
      <w:r>
        <w:t>(13) CYPRUS</w:t>
      </w:r>
    </w:p>
    <w:p>
      <w:r>
        <w:t>a) Προεδρία και Προεδρικό Μέγαρο:</w:t>
      </w:r>
    </w:p>
    <w:p>
      <w:r>
        <w:t>b) Γραφείο Συντονιστή Εναρμόνισης;</w:t>
      </w:r>
    </w:p>
    <w:p>
      <w:r>
        <w:t>c) Υπουργικό Συμβούλιο;</w:t>
      </w:r>
    </w:p>
    <w:p>
      <w:r>
        <w:t>d) Βουλή των Αντιπροσώπων;</w:t>
      </w:r>
    </w:p>
    <w:p>
      <w:r>
        <w:t>e) Δικαστική Υπηρεσία;</w:t>
      </w:r>
    </w:p>
    <w:p>
      <w:r>
        <w:t>f) Νομική Υπηρεσία της Δημοκρατίας;</w:t>
      </w:r>
    </w:p>
    <w:p>
      <w:r>
        <w:t>g) Ελεγκτική Υπηρεσία της Δημοκρατίας;</w:t>
      </w:r>
    </w:p>
    <w:p>
      <w:r>
        <w:t>h) Επιτροπή Δημόσιας Υπηρεσίας;</w:t>
      </w:r>
    </w:p>
    <w:p>
      <w:r>
        <w:t>i) Επιτροπή Εκπαιδευτικής Υπηρεσίας;</w:t>
      </w:r>
    </w:p>
    <w:p>
      <w:r>
        <w:t>j) Γραφείο Επιτρόπου Διοικήσεως;</w:t>
      </w:r>
    </w:p>
    <w:p>
      <w:r>
        <w:t>k) Επιτροπή Προστασίας Ανταγωνισμού;</w:t>
      </w:r>
    </w:p>
    <w:p>
      <w:r>
        <w:t>l) Υπηρεσία Εσωτερικού Ελέγχου;</w:t>
      </w:r>
    </w:p>
    <w:p>
      <w:r>
        <w:t>(m)Γραφείο Προγραμματισμού;</w:t>
      </w:r>
    </w:p>
    <w:p>
      <w:r>
        <w:t>n) Γενικό Λογιστήριο της Δημοκρατίας;</w:t>
      </w:r>
    </w:p>
    <w:p>
      <w:r>
        <w:t>o) Γραφείο Επιτρόπου Προστασίας Δεδομένων Προσωπικού Χαρακτήρα;</w:t>
      </w:r>
    </w:p>
    <w:p>
      <w:r>
        <w:t>p) Γραφείο Εφόρου Δημοσίων Ενισχύσεων;</w:t>
      </w:r>
    </w:p>
    <w:p>
      <w:r>
        <w:t>q) Αναθεωρητική Αρχή Προσφορών;</w:t>
      </w:r>
    </w:p>
    <w:p>
      <w:r>
        <w:t>r) Υπηρεσία Εποπτείας και Ανάπτυξης Συνεργατικών Εταιρειών;</w:t>
      </w:r>
    </w:p>
    <w:p>
      <w:r>
        <w:t>s) Αναθεωρητική Αρχή Προσφύγων;</w:t>
      </w:r>
    </w:p>
    <w:p>
      <w:r>
        <w:t>t) Υπουργείο Άμυνας;</w:t>
      </w:r>
    </w:p>
    <w:p>
      <w:r>
        <w:t>u) Υπουργείο Γεωργίας, Φυσικών Πόρων και Περιβάλλοντος:</w:t>
      </w:r>
    </w:p>
    <w:p>
      <w:r>
        <w:t>a) Τμήμα Γεωργίας;</w:t>
      </w:r>
    </w:p>
    <w:p>
      <w:r>
        <w:t>b) Κτηνιατρικές Υπηρεσίες;</w:t>
      </w:r>
    </w:p>
    <w:p>
      <w:r>
        <w:t>c) Τμήμα Δασών;</w:t>
      </w:r>
    </w:p>
    <w:p>
      <w:r>
        <w:t>d) Τμήμα Αναπτύξεως Υδάτων;</w:t>
      </w:r>
    </w:p>
    <w:p>
      <w:r>
        <w:t>e) Τμήμα Γεωλογικής Επισκόπησης;</w:t>
      </w:r>
    </w:p>
    <w:p>
      <w:r>
        <w:t>f) Μετεωρολογική Υπηρεσία;</w:t>
      </w:r>
    </w:p>
    <w:p>
      <w:r>
        <w:t>g) Τμήμα Αναδασμού;</w:t>
      </w:r>
    </w:p>
    <w:p>
      <w:r>
        <w:t>h) Υπηρεσία Μεταλλείων;</w:t>
      </w:r>
    </w:p>
    <w:p>
      <w:r>
        <w:t>i) Ινστιτούτο Γεωργικών Ερευνών;</w:t>
      </w:r>
    </w:p>
    <w:p>
      <w:r>
        <w:t>j) Τμήμα Αλιείας και Θαλάσσιων Ερευνών;</w:t>
      </w:r>
    </w:p>
    <w:p>
      <w:r>
        <w:t>v) Υπουργείο Δικαιοσύνης και Δημοσίας Τάξεως:</w:t>
      </w:r>
    </w:p>
    <w:p>
      <w:r>
        <w:t>a) Αστυνομία;</w:t>
      </w:r>
    </w:p>
    <w:p>
      <w:r>
        <w:t>b) Πυροσβεστική Υπηρεσία Κύπρου;</w:t>
      </w:r>
    </w:p>
    <w:p>
      <w:r>
        <w:t>c) Τμήμα Φυλακών;</w:t>
      </w:r>
    </w:p>
    <w:p>
      <w:r>
        <w:t>(w)Υπουργείο Εμπορίου, Βιομηχανίας και Τουρισμού:</w:t>
      </w:r>
    </w:p>
    <w:p>
      <w:r>
        <w:t>a) Τμήμα Εφόρου Εταιρειών και Επίσημου Παραλήπτη;</w:t>
      </w:r>
    </w:p>
    <w:p>
      <w:r>
        <w:t>x) Υπουργείο Εργασίας και Κοινωνικών Ασφαλίσεων:</w:t>
      </w:r>
    </w:p>
    <w:p>
      <w:r>
        <w:t>a) Τμήμα Εργασίας;</w:t>
      </w:r>
    </w:p>
    <w:p>
      <w:r>
        <w:t>b) Τμήμα Κοινωνικών Ασφαλίσεων;</w:t>
      </w:r>
    </w:p>
    <w:p>
      <w:r>
        <w:t>c) Τμήμα Υπηρεσιών Κοινωνικής Ευημερίας;</w:t>
      </w:r>
    </w:p>
    <w:p>
      <w:r>
        <w:t>d) Κέντρο Παραγωγικότητας Κύπρου;</w:t>
      </w:r>
    </w:p>
    <w:p>
      <w:r>
        <w:t>e) Ανώτερο Ξενοδοχειακό Ινστιτούτο Κύπρου;</w:t>
      </w:r>
    </w:p>
    <w:p>
      <w:r>
        <w:t>f) Ανώτερο Τεχνολογικό Ινστιτούτο;</w:t>
      </w:r>
    </w:p>
    <w:p>
      <w:r>
        <w:t>g) Τμήμα Επιθεώρησης Εργασίας;</w:t>
      </w:r>
    </w:p>
    <w:p>
      <w:r>
        <w:t>h) Τμήμα Εργασιακών Σχέσεων;</w:t>
      </w:r>
    </w:p>
    <w:p>
      <w:r>
        <w:t>y) Υπουργείο Εσωτερικών:</w:t>
      </w:r>
    </w:p>
    <w:p>
      <w:r>
        <w:t>a) Επαρχιακές Διοικήσεις;</w:t>
      </w:r>
    </w:p>
    <w:p>
      <w:r>
        <w:t>b) Τμήμα Πολεοδομίας και Οικήσεως;</w:t>
      </w:r>
    </w:p>
    <w:p>
      <w:r>
        <w:t>c) Τμήμα Αρχείου Πληθυσμού και Μεταναστεύσεως;</w:t>
      </w:r>
    </w:p>
    <w:p>
      <w:r>
        <w:t>d) Τμήμα Κτηματολογίου και Χωρομετρίας;</w:t>
      </w:r>
    </w:p>
    <w:p>
      <w:r>
        <w:t>e) Γραφείο Τύπου και Πληροφοριών;</w:t>
      </w:r>
    </w:p>
    <w:p>
      <w:r>
        <w:t>f) Πολιτική Άμυνα;</w:t>
      </w:r>
    </w:p>
    <w:p>
      <w:r>
        <w:t>g) Υπηρεσία Μέριμνας και Αποκαταστάσεων Εκτοπισθέντων;</w:t>
      </w:r>
    </w:p>
    <w:p>
      <w:r>
        <w:t>h) Υπηρεσία Ασύλου;</w:t>
      </w:r>
    </w:p>
    <w:p>
      <w:r>
        <w:t>z) Υπουργείο Εξωτερικών;</w:t>
      </w:r>
    </w:p>
    <w:p>
      <w:r>
        <w:t>(aa)Υπουργείο Οικονομικών:</w:t>
      </w:r>
    </w:p>
    <w:p>
      <w:r>
        <w:t>a) Τελωνεία;</w:t>
      </w:r>
    </w:p>
    <w:p>
      <w:r>
        <w:t>b) Τμήμα Εσωτερικών Προσόδων;</w:t>
      </w:r>
    </w:p>
    <w:p>
      <w:r>
        <w:t>c) Στατιστική Υπηρεσία;</w:t>
      </w:r>
    </w:p>
    <w:p>
      <w:r>
        <w:t>d) Τμήμα Κρατικών Αγορών και Προμηθειών;</w:t>
      </w:r>
    </w:p>
    <w:p>
      <w:r>
        <w:t>e) Τμήμα Δημόσιας Διοίκησης και Προσωπικού;</w:t>
      </w:r>
    </w:p>
    <w:p>
      <w:r>
        <w:t>f) Κυβερνητικό Τυπογραφείο;</w:t>
      </w:r>
    </w:p>
    <w:p>
      <w:r>
        <w:t>g) Τμήμα Υπηρεσιών Πληροφορικής;</w:t>
      </w:r>
    </w:p>
    <w:p>
      <w:r>
        <w:t>(bb)Υπουργείο Παιδείας και Πολιτισμού;</w:t>
      </w:r>
    </w:p>
    <w:p>
      <w:r>
        <w:t>(cc)Υπουργείο Συγκοινωνιών και Έργων:</w:t>
      </w:r>
    </w:p>
    <w:p>
      <w:r>
        <w:t>a) Τμήμα Δημοσίων Έργων;</w:t>
      </w:r>
    </w:p>
    <w:p>
      <w:r>
        <w:t>b) Τμήμα Αρχαιοτήτων;</w:t>
      </w:r>
    </w:p>
    <w:p>
      <w:r>
        <w:t>c) Τμήμα Πολιτικής Αεροπορίας;</w:t>
      </w:r>
    </w:p>
    <w:p>
      <w:r>
        <w:t>d) Τμήμα Εμπορικής Ναυτιλίας;</w:t>
      </w:r>
    </w:p>
    <w:p>
      <w:r>
        <w:t>e) Τμήμα Οδικών Μεταφορών;</w:t>
      </w:r>
    </w:p>
    <w:p>
      <w:r>
        <w:t>f) Τμήμα Ηλεκτρομηχανολογικών Υπηρεσιών;</w:t>
      </w:r>
    </w:p>
    <w:p>
      <w:r>
        <w:t>g) Τμήμα Ηλεκτρονικών Επικοινωνιών;</w:t>
      </w:r>
    </w:p>
    <w:p>
      <w:r>
        <w:t>(dd)Υπουργείο Υγείας:</w:t>
      </w:r>
    </w:p>
    <w:p>
      <w:r>
        <w:t>a) Φαρμακευτικές Υπηρεσίες;</w:t>
      </w:r>
    </w:p>
    <w:p>
      <w:r>
        <w:t>b) Γενικό Χημείο;</w:t>
      </w:r>
    </w:p>
    <w:p>
      <w:r>
        <w:t>c) Ιατρικές Υπηρεσίες και Υπηρεσίες Δημόσιας Υγείας;</w:t>
      </w:r>
    </w:p>
    <w:p>
      <w:r>
        <w:t>d) Οδοντιατρικές Υπηρεσίες;</w:t>
      </w:r>
    </w:p>
    <w:p>
      <w:r>
        <w:t>e) Υπηρεσίες Ψυχικής Υγείας.</w:t>
      </w:r>
    </w:p>
    <w:p>
      <w:r>
        <w:t>(14) LATVIA</w:t>
      </w:r>
    </w:p>
    <w:p>
      <w:r>
        <w:t>a) Ministries, secretariats of ministers for special assignments, and their subordinate institutions:</w:t>
      </w:r>
    </w:p>
    <w:p>
      <w:r>
        <w:t>a) Aizsardzības ministrija un tās padotībā esošās iestādes;</w:t>
      </w:r>
    </w:p>
    <w:p>
      <w:r>
        <w:t>b) Ārlietu ministrija un tas padotībā esošās iestādes;</w:t>
      </w:r>
    </w:p>
    <w:p>
      <w:r>
        <w:t>c) Bērnu un ģimenes lietu ministrija un tās padotībā esošas iestādes;</w:t>
      </w:r>
    </w:p>
    <w:p>
      <w:r>
        <w:t>d) Ekonomikas ministrija un tās padotībā esošās iestādes;</w:t>
      </w:r>
    </w:p>
    <w:p>
      <w:r>
        <w:t>e) Finanšu ministrija un tās padotībā esošās iestādes;</w:t>
      </w:r>
    </w:p>
    <w:p>
      <w:r>
        <w:t>f) Iekšlietu ministrija un tās padotībā esošās iestādes;</w:t>
      </w:r>
    </w:p>
    <w:p>
      <w:r>
        <w:t>g) Izglītības un zinātnes ministrija un tās padotībā esošās iestādes;</w:t>
      </w:r>
    </w:p>
    <w:p>
      <w:r>
        <w:t>h) Kultūras ministrija un tas padotībā esošās iestādes;</w:t>
      </w:r>
    </w:p>
    <w:p>
      <w:r>
        <w:t>i) Labklājības ministrija un tās padotībā esošās iestādes;</w:t>
      </w:r>
    </w:p>
    <w:p>
      <w:r>
        <w:t>j) Reģionālās attīstības un pašvaldības lietu ministrija un tās padotībā esošās iestādes;</w:t>
      </w:r>
    </w:p>
    <w:p>
      <w:r>
        <w:t>k) Satiksmes ministrija un tās padotībā esošās iestādes;</w:t>
      </w:r>
    </w:p>
    <w:p>
      <w:r>
        <w:t>l) Tieslietu ministrija un tās padotībā esošās iestādes;</w:t>
      </w:r>
    </w:p>
    <w:p>
      <w:r>
        <w:t>(m)Veselības ministrija un tās padotībā esošās iestādes;</w:t>
      </w:r>
    </w:p>
    <w:p>
      <w:r>
        <w:t>n) Vides ministrija un tās padotībā esošās iestādes;</w:t>
      </w:r>
    </w:p>
    <w:p>
      <w:r>
        <w:t>o) Zemkopības ministrija un tās padotībā esošās iestādes;</w:t>
      </w:r>
    </w:p>
    <w:p>
      <w:r>
        <w:t>p) Īpašu uzdevumu ministra sekretariāti un to padotībā esošās iestādes;</w:t>
      </w:r>
    </w:p>
    <w:p>
      <w:r>
        <w:t>q) Satversmes aizsardzības birojs;</w:t>
      </w:r>
    </w:p>
    <w:p>
      <w:r>
        <w:t>b) Other state institution:</w:t>
      </w:r>
    </w:p>
    <w:p>
      <w:r>
        <w:t>a) Augstākā tiesa;</w:t>
      </w:r>
    </w:p>
    <w:p>
      <w:r>
        <w:t>b) Centrālā vēlēšanu komisija;</w:t>
      </w:r>
    </w:p>
    <w:p>
      <w:r>
        <w:t>c) Finanšu un kapitāla tirgus komisija;</w:t>
      </w:r>
    </w:p>
    <w:p>
      <w:r>
        <w:t>d) Latvijas Banka;</w:t>
      </w:r>
    </w:p>
    <w:p>
      <w:r>
        <w:t>e) Prokuratūra un tās pārraudzībā esošās iestādes;</w:t>
      </w:r>
    </w:p>
    <w:p>
      <w:r>
        <w:t>f) Saeimas kanceleja un tās padotībā esošās iestādes;</w:t>
      </w:r>
    </w:p>
    <w:p>
      <w:r>
        <w:t>g) Satversmes tiesa;</w:t>
      </w:r>
    </w:p>
    <w:p>
      <w:r>
        <w:t>h) Valsts kanceleja un tās padotībā esošās iestādes;</w:t>
      </w:r>
    </w:p>
    <w:p>
      <w:r>
        <w:t>i) Valsts kontrole;</w:t>
      </w:r>
    </w:p>
    <w:p>
      <w:r>
        <w:t>j) Valsts prezidenta kanceleja;</w:t>
      </w:r>
    </w:p>
    <w:p>
      <w:r>
        <w:t>k) Tiesībsarga birojs;</w:t>
      </w:r>
    </w:p>
    <w:p>
      <w:r>
        <w:t>l) Nacionālā radio un televīzijas padome;</w:t>
      </w:r>
    </w:p>
    <w:p>
      <w:r>
        <w:t>(m)Citas valsts iestādes, kuras nav ministriju padotībā (Other state</w:t>
      </w:r>
    </w:p>
    <w:p>
      <w:r>
        <w:t>institutions not subordinate to ministries).</w:t>
      </w:r>
    </w:p>
    <w:p>
      <w:r>
        <w:t>(15) LITHUANIA</w:t>
      </w:r>
    </w:p>
    <w:p>
      <w:r>
        <w:t>a) Prezidentūros kanceliarija;</w:t>
      </w:r>
    </w:p>
    <w:p>
      <w:r>
        <w:t>b) Seimo kanceliarija:</w:t>
      </w:r>
    </w:p>
    <w:p>
      <w:r>
        <w:t>a) Institutions accountable to the Seimas [Parliament]: Lietuvos mokslo taryba;</w:t>
      </w:r>
    </w:p>
    <w:p>
      <w:r>
        <w:t>b) Seimo kontrolierių įstaiga;</w:t>
      </w:r>
    </w:p>
    <w:p>
      <w:r>
        <w:t>c) Valstybės kontrolė;</w:t>
      </w:r>
    </w:p>
    <w:p>
      <w:r>
        <w:t>d) Valstybės saugumo departamentas;</w:t>
      </w:r>
    </w:p>
    <w:p>
      <w:r>
        <w:t>e) Konkurencijos taryba;</w:t>
      </w:r>
    </w:p>
    <w:p>
      <w:r>
        <w:t>f) Lietuvos gyventojų genocido ir rezistencijos tyrimo centras;</w:t>
      </w:r>
    </w:p>
    <w:p>
      <w:r>
        <w:t>g) Vertybinių popierių komisija;</w:t>
      </w:r>
    </w:p>
    <w:p>
      <w:r>
        <w:t>h) Ryšių reguliavimo tarnyba;</w:t>
      </w:r>
    </w:p>
    <w:p>
      <w:r>
        <w:t>i) Nacionalinė sveikatos taryba;</w:t>
      </w:r>
    </w:p>
    <w:p>
      <w:r>
        <w:t>j) Etninės kultūros globos taryba;</w:t>
      </w:r>
    </w:p>
    <w:p>
      <w:r>
        <w:t>k) Lygių galimybių kontrolieriaus tarnyba;</w:t>
      </w:r>
    </w:p>
    <w:p>
      <w:r>
        <w:t>l) Valstybinė kultūros paveldo komisija;</w:t>
      </w:r>
    </w:p>
    <w:p>
      <w:r>
        <w:t>(m)Vaiko teisių apsaugos kontrolieriaus įstaiga;</w:t>
      </w:r>
    </w:p>
    <w:p>
      <w:r>
        <w:t>n) Valstybinė kainų ir energetikos kontrolės komisija;</w:t>
      </w:r>
    </w:p>
    <w:p>
      <w:r>
        <w:t>o) Valstybinė lietuvių kalbos komisija;</w:t>
      </w:r>
    </w:p>
    <w:p>
      <w:r>
        <w:t>p) Vyriausioji rinkimų komisija;</w:t>
      </w:r>
    </w:p>
    <w:p>
      <w:r>
        <w:t>q) Vyriausioji tarnybinės etikos komisija;</w:t>
      </w:r>
    </w:p>
    <w:p>
      <w:r>
        <w:t>r) Žurnalistų etikos inspektoriaus tarnyba;</w:t>
      </w:r>
    </w:p>
    <w:p>
      <w:r>
        <w:t>c) Vyriausybės kanceliarija;</w:t>
      </w:r>
    </w:p>
    <w:p>
      <w:r>
        <w:t>d) Institutions accountable to the Vyriausybė [Government]:</w:t>
      </w:r>
    </w:p>
    <w:p>
      <w:r>
        <w:t>a) Ginklų fondas;</w:t>
      </w:r>
    </w:p>
    <w:p>
      <w:r>
        <w:t>b) Informacinės visuomenės plėtros komitetas;</w:t>
      </w:r>
    </w:p>
    <w:p>
      <w:r>
        <w:t>c) Kūno kultūros ir sporto departamentas;</w:t>
      </w:r>
    </w:p>
    <w:p>
      <w:r>
        <w:t>d) Lietuvos archyvų departamentas;</w:t>
      </w:r>
    </w:p>
    <w:p>
      <w:r>
        <w:t>e) Mokestinių ginčų komisija;</w:t>
      </w:r>
    </w:p>
    <w:p>
      <w:r>
        <w:t>f) Statistikos departamentas;</w:t>
      </w:r>
    </w:p>
    <w:p>
      <w:r>
        <w:t>g) Tautinių mažumų ir išeivijos departamentas;</w:t>
      </w:r>
    </w:p>
    <w:p>
      <w:r>
        <w:t>h) Valstybinė tabako ir alkoholio kontrolės tarnyba;</w:t>
      </w:r>
    </w:p>
    <w:p>
      <w:r>
        <w:t>i) Viešųjų pirkimų tarnyba;</w:t>
      </w:r>
    </w:p>
    <w:p>
      <w:r>
        <w:t>j) Narkotikų kontrolės departamentas;</w:t>
      </w:r>
    </w:p>
    <w:p>
      <w:r>
        <w:t>k) Valstybinė atominės energetikos saugos inspekcija;</w:t>
      </w:r>
    </w:p>
    <w:p>
      <w:r>
        <w:t>l) Valstybinė duomenų apsaugos inspekcija;</w:t>
      </w:r>
    </w:p>
    <w:p>
      <w:r>
        <w:t>(m)Valstybinė lošimų priežiūros komisija;</w:t>
      </w:r>
    </w:p>
    <w:p>
      <w:r>
        <w:t>n) Valstybinė maisto ir veterinarijos tarnyba;</w:t>
      </w:r>
    </w:p>
    <w:p>
      <w:r>
        <w:t>o) Vyriausioji administracinių ginčų komisija;</w:t>
      </w:r>
    </w:p>
    <w:p>
      <w:r>
        <w:t>p) Draudimo priežiūros komisija;</w:t>
      </w:r>
    </w:p>
    <w:p>
      <w:r>
        <w:t>q) Lietuvos valstybinis mokslo ir studijų fondas;</w:t>
      </w:r>
    </w:p>
    <w:p>
      <w:r>
        <w:t>r) Lietuvių grįžimo į Tėvynę informacijos centras.</w:t>
      </w:r>
    </w:p>
    <w:p>
      <w:r>
        <w:t>e) Konstitucinis Teismas;</w:t>
      </w:r>
    </w:p>
    <w:p>
      <w:r>
        <w:t>f) Lietuvos bankas;</w:t>
      </w:r>
    </w:p>
    <w:p>
      <w:r>
        <w:t>g) Aplinkos ministerija;</w:t>
      </w:r>
    </w:p>
    <w:p>
      <w:r>
        <w:t>h) Institutions under the Aplinkos ministerija [Ministry of Environment]:</w:t>
      </w:r>
    </w:p>
    <w:p>
      <w:r>
        <w:t>a) Generalinė miškų urėdija;</w:t>
      </w:r>
    </w:p>
    <w:p>
      <w:r>
        <w:t>b) Lietuvos geologijos tarnyba;</w:t>
      </w:r>
    </w:p>
    <w:p>
      <w:r>
        <w:t>c) Lietuvos hidrometeorologijos tarnyba;</w:t>
      </w:r>
    </w:p>
    <w:p>
      <w:r>
        <w:t>d) Lietuvos standartizacijos departamentas;</w:t>
      </w:r>
    </w:p>
    <w:p>
      <w:r>
        <w:t>e) Nacionalinis akreditacijos biuras;</w:t>
      </w:r>
    </w:p>
    <w:p>
      <w:r>
        <w:t>f) Valstybinė metrologijos tarnyba;</w:t>
      </w:r>
    </w:p>
    <w:p>
      <w:r>
        <w:t>g) Valstybinė saugomų teritorijų tarnyba;</w:t>
      </w:r>
    </w:p>
    <w:p>
      <w:r>
        <w:t>h) Valstybinė teritorijų planavimo ir statybos inspekcija;</w:t>
      </w:r>
    </w:p>
    <w:p>
      <w:r>
        <w:t>i) Finansų ministerija;</w:t>
      </w:r>
    </w:p>
    <w:p>
      <w:r>
        <w:t>j) Institutions under the Finansų ministerija [Ministry of Finance]:</w:t>
      </w:r>
    </w:p>
    <w:p>
      <w:r>
        <w:t>a) Muitinės departamentas;</w:t>
      </w:r>
    </w:p>
    <w:p>
      <w:r>
        <w:t>b) Valstybės dokumentų technologinės apsaugos tarnyba;</w:t>
      </w:r>
    </w:p>
    <w:p>
      <w:r>
        <w:t>c) Valstybinė mokesčių inspekcija;</w:t>
      </w:r>
    </w:p>
    <w:p>
      <w:r>
        <w:t>d) Finansų ministerijos mokymo centras;</w:t>
      </w:r>
    </w:p>
    <w:p>
      <w:r>
        <w:t>k) Krašto apsaugos ministerija;</w:t>
      </w:r>
    </w:p>
    <w:p>
      <w:r>
        <w:t>l) Institutions under the Krašto apsaugos ministerija [Ministry of National Defence]:</w:t>
      </w:r>
    </w:p>
    <w:p>
      <w:r>
        <w:t>a) Antrasis operatyvinių tarnybų departamentas;</w:t>
      </w:r>
    </w:p>
    <w:p>
      <w:r>
        <w:t>b) Centralizuota finansų ir turto tarnyba;</w:t>
      </w:r>
    </w:p>
    <w:p>
      <w:r>
        <w:t>c) Karo prievolės administravimo tarnyba;</w:t>
      </w:r>
    </w:p>
    <w:p>
      <w:r>
        <w:t>d) Krašto apsaugos archyvas;</w:t>
      </w:r>
    </w:p>
    <w:p>
      <w:r>
        <w:t>e) Krizių valdymo centras;</w:t>
      </w:r>
    </w:p>
    <w:p>
      <w:r>
        <w:t>f) Mobilizacijos departamentas;</w:t>
      </w:r>
    </w:p>
    <w:p>
      <w:r>
        <w:t>g) Ryšių ir informacinių sistemų tarnyba;</w:t>
      </w:r>
    </w:p>
    <w:p>
      <w:r>
        <w:t>h) Infrastruktūros plėtros departamentas;</w:t>
      </w:r>
    </w:p>
    <w:p>
      <w:r>
        <w:t>i) Valstybinis pilietinio pasipriešinimo rengimo centras;</w:t>
      </w:r>
    </w:p>
    <w:p>
      <w:r>
        <w:t>(m)Lietuvos kariuomenė;</w:t>
      </w:r>
    </w:p>
    <w:p>
      <w:r>
        <w:t>n) Krašto apsaugos sistemos kariniai vienetai ir tarnybos;</w:t>
      </w:r>
    </w:p>
    <w:p>
      <w:r>
        <w:t>o) Kultūros ministerija;</w:t>
      </w:r>
    </w:p>
    <w:p>
      <w:r>
        <w:t>p) Institutions under the Kultūros ministerija [Ministry of Culture]:</w:t>
      </w:r>
    </w:p>
    <w:p>
      <w:r>
        <w:t>a) Kultūros paveldo departamentas;</w:t>
      </w:r>
    </w:p>
    <w:p>
      <w:r>
        <w:t>b) Valstybinė kalbos inspekcija;</w:t>
      </w:r>
    </w:p>
    <w:p>
      <w:r>
        <w:t>q) Socialinės apsaugos ir darbo ministerija;</w:t>
      </w:r>
    </w:p>
    <w:p>
      <w:r>
        <w:t>r) Institutions under the Socialinės apsaugos ir darbo ministerija [Ministry of Social Security and Labour]:</w:t>
      </w:r>
    </w:p>
    <w:p>
      <w:r>
        <w:t>a) Garantinio fondo administracija;</w:t>
      </w:r>
    </w:p>
    <w:p>
      <w:r>
        <w:t>b) Valstybės vaiko teisių apsaugos ir įvaikinimo tarnyba;</w:t>
      </w:r>
    </w:p>
    <w:p>
      <w:r>
        <w:t>c) Lietuvos darbo birža;</w:t>
      </w:r>
    </w:p>
    <w:p>
      <w:r>
        <w:t>d) Lietuvos darbo rinkos mokymo tarnyba;</w:t>
      </w:r>
    </w:p>
    <w:p>
      <w:r>
        <w:t>e) Trišalės tarybos sekretoriatas;</w:t>
      </w:r>
    </w:p>
    <w:p>
      <w:r>
        <w:t>f) Socialinių paslaugų priežiūros departamentas;</w:t>
      </w:r>
    </w:p>
    <w:p>
      <w:r>
        <w:t>g) Darbo inspekcija;</w:t>
      </w:r>
    </w:p>
    <w:p>
      <w:r>
        <w:t>h) Valstybinio socialinio draudimo fondo valdyba;</w:t>
      </w:r>
    </w:p>
    <w:p>
      <w:r>
        <w:t>i) Neįgalumo ir darbingumo nustatymo tarnyba;</w:t>
      </w:r>
    </w:p>
    <w:p>
      <w:r>
        <w:t>j) Ginčų komisija;</w:t>
      </w:r>
    </w:p>
    <w:p>
      <w:r>
        <w:t>k) Techninės pagalbos neįgaliesiems centras;</w:t>
      </w:r>
    </w:p>
    <w:p>
      <w:r>
        <w:t>l) Neįgaliųjų reikalų departamentas;</w:t>
      </w:r>
    </w:p>
    <w:p>
      <w:r>
        <w:t>s) Susisiekimo ministerija;</w:t>
      </w:r>
    </w:p>
    <w:p>
      <w:r>
        <w:t>t) Institutions under the Susisiekimo ministerija [Ministry of Transport and Communications]:</w:t>
      </w:r>
    </w:p>
    <w:p>
      <w:r>
        <w:t>a) Lietuvos automobilių kelių direkcija;</w:t>
      </w:r>
    </w:p>
    <w:p>
      <w:r>
        <w:t>b) Valstybinė geležinkelio inspekcija;</w:t>
      </w:r>
    </w:p>
    <w:p>
      <w:r>
        <w:t>c) Valstybinė kelių transporto inspekcija;</w:t>
      </w:r>
    </w:p>
    <w:p>
      <w:r>
        <w:t>d) Pasienio kontrolės punktų direkcija;</w:t>
      </w:r>
    </w:p>
    <w:p>
      <w:r>
        <w:t>u) Sveikatos apsaugos ministerija;</w:t>
      </w:r>
    </w:p>
    <w:p>
      <w:r>
        <w:t>v) Institutions under the Sveikatos apsaugos ministerija [Ministry of Health]:</w:t>
      </w:r>
    </w:p>
    <w:p>
      <w:r>
        <w:t>a) Valstybinė akreditavimo sveikatos priežiūros veiklai tarnyba;</w:t>
      </w:r>
    </w:p>
    <w:p>
      <w:r>
        <w:t>b) Valstybinė ligonių kasa;</w:t>
      </w:r>
    </w:p>
    <w:p>
      <w:r>
        <w:t>c) Valstybinė medicininio audito inspekcija;</w:t>
      </w:r>
    </w:p>
    <w:p>
      <w:r>
        <w:t>d) Valstybinė vaistų kontrolės tarnyba;</w:t>
      </w:r>
    </w:p>
    <w:p>
      <w:r>
        <w:t>e) Valstybinė teismo psichiatrijos ir narkologijos tarnyba;</w:t>
      </w:r>
    </w:p>
    <w:p>
      <w:r>
        <w:t>f) Valstybinė visuomenės sveikatos priežiūros tarnyba;</w:t>
      </w:r>
    </w:p>
    <w:p>
      <w:r>
        <w:t>g) Farmacijos departamentas;</w:t>
      </w:r>
    </w:p>
    <w:p>
      <w:r>
        <w:t>h) Sveikatos apsaugos ministerijos Ekstremalių sveikatai situacijų centras;</w:t>
      </w:r>
    </w:p>
    <w:p>
      <w:r>
        <w:t>i) Lietuvos bioetikos komitetas;</w:t>
      </w:r>
    </w:p>
    <w:p>
      <w:r>
        <w:t>j) Radiacinės saugos centras;</w:t>
      </w:r>
    </w:p>
    <w:p>
      <w:r>
        <w:t>(w)Švietimo ir mokslo ministerija;</w:t>
      </w:r>
    </w:p>
    <w:p>
      <w:r>
        <w:t>x) Institutions under the Švietimo ir mokslo ministerija [Ministry of Education and Science]:</w:t>
      </w:r>
    </w:p>
    <w:p>
      <w:r>
        <w:t>a) Nacionalinis egzaminų centras;</w:t>
      </w:r>
    </w:p>
    <w:p>
      <w:r>
        <w:t>b) Studijų kokybės vertinimo centras;</w:t>
      </w:r>
    </w:p>
    <w:p>
      <w:r>
        <w:t>y) Teisingumo ministerija;</w:t>
      </w:r>
    </w:p>
    <w:p>
      <w:r>
        <w:t>z) Institutions under the Teisingumo ministerija [Ministry of Justice]:</w:t>
      </w:r>
    </w:p>
    <w:p>
      <w:r>
        <w:t>a) Kalėjimų departamentas;</w:t>
      </w:r>
    </w:p>
    <w:p>
      <w:r>
        <w:t>b) Nacionalinė vartotojų teisių apsaugos taryba;</w:t>
      </w:r>
    </w:p>
    <w:p>
      <w:r>
        <w:t>c) Europos teisės departamentas;</w:t>
      </w:r>
    </w:p>
    <w:p>
      <w:r>
        <w:t>(aa)Teisingumo ministerija;</w:t>
      </w:r>
    </w:p>
    <w:p>
      <w:r>
        <w:t>(bb)Institutions under the Teisingumo ministerija [Ministry of Justice]:</w:t>
      </w:r>
    </w:p>
    <w:p>
      <w:r>
        <w:t>a) Kalėjimų departamentas;</w:t>
      </w:r>
    </w:p>
    <w:p>
      <w:r>
        <w:t>b) Nacionalinė vartotojų teisių apsaugos taryba;</w:t>
      </w:r>
    </w:p>
    <w:p>
      <w:r>
        <w:t>c) Europos teisės departamentas;</w:t>
      </w:r>
    </w:p>
    <w:p>
      <w:r>
        <w:t>(cc)Ūkio ministerija;</w:t>
      </w:r>
    </w:p>
    <w:p>
      <w:r>
        <w:t>(dd)Institutions under the Ūkio ministerija [Ministry of Economy]:</w:t>
      </w:r>
    </w:p>
    <w:p>
      <w:r>
        <w:t>a) Įmonių bankroto valdymo departamentas;</w:t>
      </w:r>
    </w:p>
    <w:p>
      <w:r>
        <w:t>b) Valstybinė energetikos inspekcija;</w:t>
      </w:r>
    </w:p>
    <w:p>
      <w:r>
        <w:t>c) Valstybinė ne maisto produktų inspekcija;</w:t>
      </w:r>
    </w:p>
    <w:p>
      <w:r>
        <w:t>d) Valstybinis turizmo departamentas;</w:t>
      </w:r>
    </w:p>
    <w:p>
      <w:r>
        <w:t>(ee)Užsienio reikalų ministerija;</w:t>
      </w:r>
    </w:p>
    <w:p>
      <w:r>
        <w:t>(ff)Diplomatinės atstovybės ir konsulinės įstaigos užsienyje bei atstovybės prie</w:t>
      </w:r>
    </w:p>
    <w:p>
      <w:r>
        <w:t>tarptautinių organizacijų;</w:t>
      </w:r>
    </w:p>
    <w:p>
      <w:r>
        <w:t>(gg)Vidaus reikalų ministerija;</w:t>
      </w:r>
    </w:p>
    <w:p>
      <w:r>
        <w:t>(hh)Institutions under the Vidaus reikalų ministerija [Ministry of the Interior]:</w:t>
      </w:r>
    </w:p>
    <w:p>
      <w:r>
        <w:t>a) Asmens dokumentų išrašymo centras;</w:t>
      </w:r>
    </w:p>
    <w:p>
      <w:r>
        <w:t>b) Finansinių nusikaltimų tyrimo tarnyba;</w:t>
      </w:r>
    </w:p>
    <w:p>
      <w:r>
        <w:t>c) Gyventojų registro tarnyba;</w:t>
      </w:r>
    </w:p>
    <w:p>
      <w:r>
        <w:t>d) Policijos departamentas;</w:t>
      </w:r>
    </w:p>
    <w:p>
      <w:r>
        <w:t>e) Priešgaisrinės apsaugos ir gelbėjimo departamentas;</w:t>
      </w:r>
    </w:p>
    <w:p>
      <w:r>
        <w:t>f) Turto valdymo ir ūkio departamentas;</w:t>
      </w:r>
    </w:p>
    <w:p>
      <w:r>
        <w:t>g) Vadovybės apsaugos departamentas;</w:t>
      </w:r>
    </w:p>
    <w:p>
      <w:r>
        <w:t>h) Valstybės sienos apsaugos tarnyba;</w:t>
      </w:r>
    </w:p>
    <w:p>
      <w:r>
        <w:t>i) Valstybės tarnybos departamentas;</w:t>
      </w:r>
    </w:p>
    <w:p>
      <w:r>
        <w:t>j) Informatikos ir ryšių departamentas;</w:t>
      </w:r>
    </w:p>
    <w:p>
      <w:r>
        <w:t>k) Migracijos departamentas;</w:t>
      </w:r>
    </w:p>
    <w:p>
      <w:r>
        <w:t>l) Sveikatos priežiūros tarnyba;</w:t>
      </w:r>
    </w:p>
    <w:p>
      <w:r>
        <w:t>(m)Bendrasis pagalbos centras;</w:t>
      </w:r>
    </w:p>
    <w:p>
      <w:r>
        <w:t>ii) Žemės ūkio ministerija;</w:t>
      </w:r>
    </w:p>
    <w:p>
      <w:r>
        <w:t>(jj) Institutions under the Žemės ūkio ministerija [Ministry of Agriculture]:</w:t>
      </w:r>
    </w:p>
    <w:p>
      <w:r>
        <w:t>a) Nacionalinė mokėjimo agentūra;</w:t>
      </w:r>
    </w:p>
    <w:p>
      <w:r>
        <w:t>b) Nacionalinė žemės tarnyba;</w:t>
      </w:r>
    </w:p>
    <w:p>
      <w:r>
        <w:t>c) Valstybinė augalų apsaugos tarnyba;</w:t>
      </w:r>
    </w:p>
    <w:p>
      <w:r>
        <w:t>d) Valstybinė gyvulių veislininkystės priežiūros tarnyba;</w:t>
      </w:r>
    </w:p>
    <w:p>
      <w:r>
        <w:t>e) Valstybinė sėklų ir grūdų tarnyba;</w:t>
      </w:r>
    </w:p>
    <w:p>
      <w:r>
        <w:t>f) Žuvininkystės departamentas;</w:t>
      </w:r>
    </w:p>
    <w:p>
      <w:r>
        <w:t>(kk)Teismai [Courts]:</w:t>
      </w:r>
    </w:p>
    <w:p>
      <w:r>
        <w:t>a) Lietuvos Aukščiausiasis Teismas;</w:t>
      </w:r>
    </w:p>
    <w:p>
      <w:r>
        <w:t>b) Lietuvos apeliacinis teismas;</w:t>
      </w:r>
    </w:p>
    <w:p>
      <w:r>
        <w:t>c) Lietuvos vyriausiasis administracinis teismas;</w:t>
      </w:r>
    </w:p>
    <w:p>
      <w:r>
        <w:t>d) apygardų teismai;apygardų administraciniai teismai;</w:t>
      </w:r>
    </w:p>
    <w:p>
      <w:r>
        <w:t>e) apylinkių teismai;</w:t>
      </w:r>
    </w:p>
    <w:p>
      <w:r>
        <w:t>f) Nacionalinė teismų administracija;</w:t>
      </w:r>
    </w:p>
    <w:p>
      <w:r>
        <w:t>(ll) Generalinė prokuratūra;</w:t>
      </w:r>
    </w:p>
    <w:p>
      <w:r>
        <w:t>(mm)Other Central Public Administration Entities (institucijos [institutions], įstaigos</w:t>
      </w:r>
    </w:p>
    <w:p>
      <w:r>
        <w:t>[establishments], tarnybos [agencies]):</w:t>
      </w:r>
    </w:p>
    <w:p>
      <w:r>
        <w:t>a) Aplinkos apsaugos agentūra;</w:t>
      </w:r>
    </w:p>
    <w:p>
      <w:r>
        <w:t>b) Valstybinė aplinkos apsaugos inspekcija;</w:t>
      </w:r>
    </w:p>
    <w:p>
      <w:r>
        <w:t>c) Aplinkos projektų valdymo agentūra;</w:t>
      </w:r>
    </w:p>
    <w:p>
      <w:r>
        <w:t>d) Miško genetinių išteklių, sėklų ir sodmenų tarnyba;</w:t>
      </w:r>
    </w:p>
    <w:p>
      <w:r>
        <w:t>e) Miško sanitarinės apsaugos tarnyba;</w:t>
      </w:r>
    </w:p>
    <w:p>
      <w:r>
        <w:t>f) Nacionalinis visuomenės sveikatos tyrimų centras;</w:t>
      </w:r>
    </w:p>
    <w:p>
      <w:r>
        <w:t>g) Lietuvos AIDS centras;</w:t>
      </w:r>
    </w:p>
    <w:p>
      <w:r>
        <w:t>h) Nacionalinis organų transplantacijos biuras;</w:t>
      </w:r>
    </w:p>
    <w:p>
      <w:r>
        <w:t>i) Valstybinis patologijos centras;</w:t>
      </w:r>
    </w:p>
    <w:p>
      <w:r>
        <w:t>j) Valstybinis psichikos sveikatos centras;</w:t>
      </w:r>
    </w:p>
    <w:p>
      <w:r>
        <w:t>k) Lietuvos sveikatos informacijos centras;</w:t>
      </w:r>
    </w:p>
    <w:p>
      <w:r>
        <w:t>l) Slaugos darbuotojų tobulinimosi ir specializacijos centras;</w:t>
      </w:r>
    </w:p>
    <w:p>
      <w:r>
        <w:t>(m)Valstybinis aplinkos sveikatos centras;</w:t>
      </w:r>
    </w:p>
    <w:p>
      <w:r>
        <w:t>n) Respublikinis mitybos centras;</w:t>
      </w:r>
    </w:p>
    <w:p>
      <w:r>
        <w:t>o) Užkrečiamųjų ligų profilaktikos ir kontrolės centras;</w:t>
      </w:r>
    </w:p>
    <w:p>
      <w:r>
        <w:t>p) Trakų visuomenės sveikatos priežiūros ir specialistų tobulinimosi centras;</w:t>
      </w:r>
    </w:p>
    <w:p>
      <w:r>
        <w:t>q) Visuomenės sveikatos ugdymo centras;</w:t>
      </w:r>
    </w:p>
    <w:p>
      <w:r>
        <w:t>r) Muitinės kriminalinė tarnyba;</w:t>
      </w:r>
    </w:p>
    <w:p>
      <w:r>
        <w:t>s) Muitinės informacinių sistemų centras;</w:t>
      </w:r>
    </w:p>
    <w:p>
      <w:r>
        <w:t>t) Muitinės laboratorija;</w:t>
      </w:r>
    </w:p>
    <w:p>
      <w:r>
        <w:t>u) Muitinės mokymo centras;</w:t>
      </w:r>
    </w:p>
    <w:p>
      <w:r>
        <w:t>v) Valstybinis patentų biuras;</w:t>
      </w:r>
    </w:p>
    <w:p>
      <w:r>
        <w:t>(w)Lietuvos teismo ekspertizės centras;</w:t>
      </w:r>
    </w:p>
    <w:p>
      <w:r>
        <w:t>x) Centrinė hipotekos įstaiga;</w:t>
      </w:r>
    </w:p>
    <w:p>
      <w:r>
        <w:t>y) Lietuvos metrologijos inspekcija;</w:t>
      </w:r>
    </w:p>
    <w:p>
      <w:r>
        <w:t>z) Civilinės aviacijos administracija;</w:t>
      </w:r>
    </w:p>
    <w:p>
      <w:r>
        <w:t>(aa)Lietuvos saugios laivybos administracija;</w:t>
      </w:r>
    </w:p>
    <w:p>
      <w:r>
        <w:t>(bb)Transporto investicijų direkcija;</w:t>
      </w:r>
    </w:p>
    <w:p>
      <w:r>
        <w:t>(cc)Valstybinė vidaus vandenų laivybos inspekcija;</w:t>
      </w:r>
    </w:p>
    <w:p>
      <w:r>
        <w:t>(dd)Pabėgėlių priėmimo centras.</w:t>
      </w:r>
    </w:p>
    <w:p>
      <w:r>
        <w:t>(16) LUXEMBOURG</w:t>
      </w:r>
    </w:p>
    <w:p>
      <w:r>
        <w:t>a) Ministère d’Etat;</w:t>
      </w:r>
    </w:p>
    <w:p>
      <w:r>
        <w:t>b) Ministère des Affaires Etrangères et de l’Immigration;</w:t>
      </w:r>
    </w:p>
    <w:p>
      <w:r>
        <w:t>c) Ministère de l’Agriculture, de la Viticulture et du Développement Rural;</w:t>
      </w:r>
    </w:p>
    <w:p>
      <w:r>
        <w:t>d) Ministère des Classes moyennes, du Tourisme et du Logement;</w:t>
      </w:r>
    </w:p>
    <w:p>
      <w:r>
        <w:t>e) Ministère de la Culture, de l’Enseignement Supérieur et de la Recherche;</w:t>
      </w:r>
    </w:p>
    <w:p>
      <w:r>
        <w:t>f) Ministère de l’Economie et du Commerce extérieur;</w:t>
      </w:r>
    </w:p>
    <w:p>
      <w:r>
        <w:t>g) Ministère de l’Education nationale et de la Formation professionnelle;</w:t>
      </w:r>
    </w:p>
    <w:p>
      <w:r>
        <w:t>h) Ministère de l’Egalité des chances;</w:t>
      </w:r>
    </w:p>
    <w:p>
      <w:r>
        <w:t>i) Ministère de l’Environnement;</w:t>
      </w:r>
    </w:p>
    <w:p>
      <w:r>
        <w:t>j) Ministère de la Famille et de l’Intégration;</w:t>
      </w:r>
    </w:p>
    <w:p>
      <w:r>
        <w:t>k) Ministère des Finances;</w:t>
      </w:r>
    </w:p>
    <w:p>
      <w:r>
        <w:t>l) Ministère de la Fonction publique et de la Réforme administrative;</w:t>
      </w:r>
    </w:p>
    <w:p>
      <w:r>
        <w:t>(m)Ministère de l’Intérieur et de l’Aménagement du territoire;</w:t>
      </w:r>
    </w:p>
    <w:p>
      <w:r>
        <w:t>n) Ministère de la Justice;</w:t>
      </w:r>
    </w:p>
    <w:p>
      <w:r>
        <w:t>o) Ministère de la Santé;</w:t>
      </w:r>
    </w:p>
    <w:p>
      <w:r>
        <w:t>p) Ministère de la Sécurité sociale;</w:t>
      </w:r>
    </w:p>
    <w:p>
      <w:r>
        <w:t>q) Ministère des Transports;</w:t>
      </w:r>
    </w:p>
    <w:p>
      <w:r>
        <w:t>r) Ministère du Travail et de l’Emploi;</w:t>
      </w:r>
    </w:p>
    <w:p>
      <w:r>
        <w:t>s) Ministère des Travaux publics.</w:t>
      </w:r>
    </w:p>
    <w:p>
      <w:r>
        <w:t>(17) HUNGARY</w:t>
      </w:r>
    </w:p>
    <w:p>
      <w:r>
        <w:t>a) Egészségügyi Minisztérium;</w:t>
      </w:r>
    </w:p>
    <w:p>
      <w:r>
        <w:t>b) Földművelésügyi és Vidékfejlesztési Minisztérium;</w:t>
      </w:r>
    </w:p>
    <w:p>
      <w:r>
        <w:t>c) Gazdasági és Közlekedési Minisztérium;</w:t>
      </w:r>
    </w:p>
    <w:p>
      <w:r>
        <w:t>d) Honvédelmi Minisztérium;</w:t>
      </w:r>
    </w:p>
    <w:p>
      <w:r>
        <w:t>e) Igazságügyi és Rendészeti Minisztérium;</w:t>
      </w:r>
    </w:p>
    <w:p>
      <w:r>
        <w:t>f) Környezetvédelmi és Vízügyi Minisztérium;</w:t>
      </w:r>
    </w:p>
    <w:p>
      <w:r>
        <w:t>g) Külügyminisztérium;</w:t>
      </w:r>
    </w:p>
    <w:p>
      <w:r>
        <w:t>h) Miniszterelnöki Hivatal;</w:t>
      </w:r>
    </w:p>
    <w:p>
      <w:r>
        <w:t>i) Oktatási és Kulturális Minisztérium;</w:t>
      </w:r>
    </w:p>
    <w:p>
      <w:r>
        <w:t>j) Önkormányzati és Területfejlesztési Minisztérium;</w:t>
      </w:r>
    </w:p>
    <w:p>
      <w:r>
        <w:t>k) Pénzügyminisztérium;</w:t>
      </w:r>
    </w:p>
    <w:p>
      <w:r>
        <w:t>l) Szociális és Munkaügyi Minisztérium;</w:t>
      </w:r>
    </w:p>
    <w:p>
      <w:r>
        <w:t>(m)Központi Szolgáltatási Főigazgatóság.</w:t>
      </w:r>
    </w:p>
    <w:p>
      <w:r>
        <w:t>(18) MALTA</w:t>
      </w:r>
    </w:p>
    <w:p>
      <w:r>
        <w:t>a) Uffiċċju tal-Prim Ministru (Office of the Prime Minister);</w:t>
      </w:r>
    </w:p>
    <w:p>
      <w:r>
        <w:t>b) Ministeru għall-Familja u Solidarjeta' Soċjali (Ministry for the Family and Social Solidarity);</w:t>
      </w:r>
    </w:p>
    <w:p>
      <w:r>
        <w:t>c) Ministeru ta' l-Edukazzjoni Zghazagh u Impjieg (Ministry for Education Youth and Employment);</w:t>
      </w:r>
    </w:p>
    <w:p>
      <w:r>
        <w:t>d) Ministeru tal-Finanzi (Ministry of Finance);</w:t>
      </w:r>
    </w:p>
    <w:p>
      <w:r>
        <w:t>e) Ministeru tar-Riżorsi u l-Infrastruttura (Ministry for Resources and Infrastructure);</w:t>
      </w:r>
    </w:p>
    <w:p>
      <w:r>
        <w:t>f) Ministeru tat-Turiżmu u Kultura (Ministry for Tourism and Culture);</w:t>
      </w:r>
    </w:p>
    <w:p>
      <w:r>
        <w:t>g) Ministeru tal-Ġustizzja u l-Intern (Ministry for Justice and Home Affairs);</w:t>
      </w:r>
    </w:p>
    <w:p>
      <w:r>
        <w:t>h) Ministeru għall-Affarijiet Rurali u l-Ambjent (Ministry for Rural Affairs and the Environment);</w:t>
      </w:r>
    </w:p>
    <w:p>
      <w:r>
        <w:t>i) Ministeru għal Għawdex (Ministry for Gozo);</w:t>
      </w:r>
    </w:p>
    <w:p>
      <w:r>
        <w:t>j) Ministeru tas-Saħħa, l-Anzjani u Kura fil-Kommunita' (Ministry of Health, the Elderly and Community Care);</w:t>
      </w:r>
    </w:p>
    <w:p>
      <w:r>
        <w:t>k) Ministeru ta' l-Affarijiet Barranin (Ministry of Foreign Affairs);</w:t>
      </w:r>
    </w:p>
    <w:p>
      <w:r>
        <w:t>l) Ministeru għall-Investimenti, Industrija u Teknologija ta' Informazzjoni (Ministry for Investment, Industry and Information Technology);</w:t>
      </w:r>
    </w:p>
    <w:p>
      <w:r>
        <w:t>(m)Ministeru għall-Kompetittivà u Komunikazzjoni (Ministry for Competitiveness</w:t>
      </w:r>
    </w:p>
    <w:p>
      <w:r>
        <w:t>and Communications);</w:t>
      </w:r>
    </w:p>
    <w:p>
      <w:r>
        <w:t>n) Ministeru għall-Iżvilupp Urban u Toroq (Ministry for Urban Development and Roads).</w:t>
      </w:r>
    </w:p>
    <w:p>
      <w:r>
        <w:t>(19) NETHERLANDS</w:t>
      </w:r>
    </w:p>
    <w:p>
      <w:r>
        <w:t>a) Ministerie van Algemene Zaken:</w:t>
      </w:r>
    </w:p>
    <w:p>
      <w:r>
        <w:t>a) Bestuursdepartement;</w:t>
      </w:r>
    </w:p>
    <w:p>
      <w:r>
        <w:t>b) Bureau van de Wetenschappelijke Raad voor het Regeringsbeleid;</w:t>
      </w:r>
    </w:p>
    <w:p>
      <w:r>
        <w:t>c) Rijksvoorlichtingsdienst;</w:t>
      </w:r>
    </w:p>
    <w:p>
      <w:r>
        <w:t>b) Ministerie van Binnenlandse Zaken en Koninkrijksrelaties Bestuursdepartement:</w:t>
      </w:r>
    </w:p>
    <w:p>
      <w:r>
        <w:t>a) Centrale Archiefselectiedienst (CAS);</w:t>
      </w:r>
    </w:p>
    <w:p>
      <w:r>
        <w:t>b) Algemene Inlichtingen- en Veiligheidsdienst (AIVD);</w:t>
      </w:r>
    </w:p>
    <w:p>
      <w:r>
        <w:t>c) Agentschap Basisadministratie Persoonsgegevens en Reisdocumenten (BPR);</w:t>
      </w:r>
    </w:p>
    <w:p>
      <w:r>
        <w:t>d) Agentschap Korps;</w:t>
      </w:r>
    </w:p>
    <w:p>
      <w:r>
        <w:t>e) Landelijke Politiediensten;</w:t>
      </w:r>
    </w:p>
    <w:p>
      <w:r>
        <w:t>c) Ministerie van Buitenlandse Zaken:</w:t>
      </w:r>
    </w:p>
    <w:p>
      <w:r>
        <w:t>a) Directoraat-generaal Regiobeleid en Consulaire Zaken (DGRC);</w:t>
      </w:r>
    </w:p>
    <w:p>
      <w:r>
        <w:t>b) Directoraat-generaal Politieke Zaken (DGPZ);</w:t>
      </w:r>
    </w:p>
    <w:p>
      <w:r>
        <w:t>c) Directoraat-generaal Internationale Samenwerking (DGIS);</w:t>
      </w:r>
    </w:p>
    <w:p>
      <w:r>
        <w:t>d) Directoraat-generaal Europese Samenwerking (DGES);</w:t>
      </w:r>
    </w:p>
    <w:p>
      <w:r>
        <w:t>e) Centrum tot Bevordering van de Import uit Ontwikkelingslanden (CBI);</w:t>
      </w:r>
    </w:p>
    <w:p>
      <w:r>
        <w:t>f) Centrale diensten ressorterend onder S/PlvS (Support services falling under the Secretary-general and Deputy Secretary- general);</w:t>
      </w:r>
    </w:p>
    <w:p>
      <w:r>
        <w:t>g) Buitenlandse Posten (ieder afzonderlijk);</w:t>
      </w:r>
    </w:p>
    <w:p>
      <w:r>
        <w:t>d) Ministerie van Defensie — (Ministry of Defence):</w:t>
      </w:r>
    </w:p>
    <w:p>
      <w:r>
        <w:t>a) Bestuursdepartement;</w:t>
      </w:r>
    </w:p>
    <w:p>
      <w:r>
        <w:t>b) Commando Diensten Centra (CDC);</w:t>
      </w:r>
    </w:p>
    <w:p>
      <w:r>
        <w:t>c) Defensie Telematica Organisatie (DTO);</w:t>
      </w:r>
    </w:p>
    <w:p>
      <w:r>
        <w:t>d) Centrale directie van de Defensie Vastgoed Dienst</w:t>
      </w:r>
    </w:p>
    <w:p>
      <w:r>
        <w:t>e) De afzonderlijke regionale directies van de Defensie Vastgoed Dienst;</w:t>
      </w:r>
    </w:p>
    <w:p>
      <w:r>
        <w:t>f) Defensie Materieel Organisatie (DMO);</w:t>
      </w:r>
    </w:p>
    <w:p>
      <w:r>
        <w:t>g) Landelijk Bevoorradingsbedrijf van de Defensie Materieel Organisatie;</w:t>
      </w:r>
    </w:p>
    <w:p>
      <w:r>
        <w:t>h) Logistiek Centrum van de Defensie Materieel Organisatie</w:t>
      </w:r>
    </w:p>
    <w:p>
      <w:r>
        <w:t>i) Marinebedrijf van de Defensie Materieel Organisatie;</w:t>
      </w:r>
    </w:p>
    <w:p>
      <w:r>
        <w:t>j) Defensie Pijpleiding Organisatie (DPO);</w:t>
      </w:r>
    </w:p>
    <w:p>
      <w:r>
        <w:t>e) Ministerie van Economische Zaken:</w:t>
      </w:r>
    </w:p>
    <w:p>
      <w:r>
        <w:t>a) Bestuursdepartement;</w:t>
      </w:r>
    </w:p>
    <w:p>
      <w:r>
        <w:t>b) Centraal Planbureau (CPB);</w:t>
      </w:r>
    </w:p>
    <w:p>
      <w:r>
        <w:t>c) SenterNovem;</w:t>
      </w:r>
    </w:p>
    <w:p>
      <w:r>
        <w:t>d) Staatstoezicht op de Mijnen (SodM);</w:t>
      </w:r>
    </w:p>
    <w:p>
      <w:r>
        <w:t>e) Nederlandse Mededingingsautoriteit (NMa);</w:t>
      </w:r>
    </w:p>
    <w:p>
      <w:r>
        <w:t>f) Economische Voorlichtingsdienst (EVD);</w:t>
      </w:r>
    </w:p>
    <w:p>
      <w:r>
        <w:t>g) Agentschap Telecom Kenniscentrum Professioneel &amp; Innovatief Aanbesteden, Netwerk voor Overheidsopdrachtgevers (PIANOo);</w:t>
      </w:r>
    </w:p>
    <w:p>
      <w:r>
        <w:t>h) Regiebureau Inkoop Rijksoverheid;</w:t>
      </w:r>
    </w:p>
    <w:p>
      <w:r>
        <w:t>i) Octrooicentrum Nederland;</w:t>
      </w:r>
    </w:p>
    <w:p>
      <w:r>
        <w:t>j) Consumentenautoriteit;</w:t>
      </w:r>
    </w:p>
    <w:p>
      <w:r>
        <w:t>f) Ministerie van Financiën:</w:t>
      </w:r>
    </w:p>
    <w:p>
      <w:r>
        <w:t>a) Bestuursdepartement;</w:t>
      </w:r>
    </w:p>
    <w:p>
      <w:r>
        <w:t>b) Belastingdienst Automatiseringscentrum;</w:t>
      </w:r>
    </w:p>
    <w:p>
      <w:r>
        <w:t>c) Belastingdienst;</w:t>
      </w:r>
    </w:p>
    <w:p>
      <w:r>
        <w:t>d) de afzonderlijke Directies der Rijksbelastingen (the various Divisions of the Tax and Customs Administration throughout the Netherlands);</w:t>
      </w:r>
    </w:p>
    <w:p>
      <w:r>
        <w:t>e) Fiscale Inlichtingen- en Opsporingsdienst (incl. Economische Controle dienst (ECD))</w:t>
      </w:r>
    </w:p>
    <w:p>
      <w:r>
        <w:t>f) Belastingdienst Opleidingen;</w:t>
      </w:r>
    </w:p>
    <w:p>
      <w:r>
        <w:t>g) Dienst der Domeinen;</w:t>
      </w:r>
    </w:p>
    <w:p>
      <w:r>
        <w:t>g) Ministerie van Justitie:</w:t>
      </w:r>
    </w:p>
    <w:p>
      <w:r>
        <w:t>a) Bestuursdepartement;</w:t>
      </w:r>
    </w:p>
    <w:p>
      <w:r>
        <w:t>b) Dienst Justitiële Inrichtingen;</w:t>
      </w:r>
    </w:p>
    <w:p>
      <w:r>
        <w:t>c) Raad voor de Kinderbescherming;</w:t>
      </w:r>
    </w:p>
    <w:p>
      <w:r>
        <w:t>d) Centraal Justitie Incasso Bureau;</w:t>
      </w:r>
    </w:p>
    <w:p>
      <w:r>
        <w:t>e) Openbaar Ministerie;</w:t>
      </w:r>
    </w:p>
    <w:p>
      <w:r>
        <w:t>f) Immigratie en Naturalisatiedienst;</w:t>
      </w:r>
    </w:p>
    <w:p>
      <w:r>
        <w:t>g) Nederlands Forensisch Instituut;</w:t>
      </w:r>
    </w:p>
    <w:p>
      <w:r>
        <w:t>h) Dienst Terugkeer &amp; Vertrek;</w:t>
      </w:r>
    </w:p>
    <w:p>
      <w:r>
        <w:t>h) Ministerie van Landbouw, Natuur en Voedselkwaliteit:</w:t>
      </w:r>
    </w:p>
    <w:p>
      <w:r>
        <w:t>a) Bestuursdepartement;</w:t>
      </w:r>
    </w:p>
    <w:p>
      <w:r>
        <w:t>b) Dienst Regelingen (DR);</w:t>
      </w:r>
    </w:p>
    <w:p>
      <w:r>
        <w:t>c) Agentschap Plantenziektenkundige Dienst (PD);</w:t>
      </w:r>
    </w:p>
    <w:p>
      <w:r>
        <w:t>d) Algemene Inspectiedienst (AID);</w:t>
      </w:r>
    </w:p>
    <w:p>
      <w:r>
        <w:t>e) Dienst Landelijk Gebied (DLG);</w:t>
      </w:r>
    </w:p>
    <w:p>
      <w:r>
        <w:t>f) Voedsel en Waren Autoriteit (VWA);</w:t>
      </w:r>
    </w:p>
    <w:p>
      <w:r>
        <w:t>i) Ministerie van Onderwijs, Cultuur en Wetenschappen:</w:t>
      </w:r>
    </w:p>
    <w:p>
      <w:r>
        <w:t>a) Bestuursdepartement;</w:t>
      </w:r>
    </w:p>
    <w:p>
      <w:r>
        <w:t>b) Inspectie van het Onderwijs;</w:t>
      </w:r>
    </w:p>
    <w:p>
      <w:r>
        <w:t>c) Erfgoedinspectie;</w:t>
      </w:r>
    </w:p>
    <w:p>
      <w:r>
        <w:t>d) Centrale Financiën Instellingen;</w:t>
      </w:r>
    </w:p>
    <w:p>
      <w:r>
        <w:t>e) Nationaal Archief;</w:t>
      </w:r>
    </w:p>
    <w:p>
      <w:r>
        <w:t>f) Adviesraad voor Wetenschaps- en Technologiebeleid;</w:t>
      </w:r>
    </w:p>
    <w:p>
      <w:r>
        <w:t>g) Onderwijsraad;</w:t>
      </w:r>
    </w:p>
    <w:p>
      <w:r>
        <w:t>h) Raad voor Cultuur;</w:t>
      </w:r>
    </w:p>
    <w:p>
      <w:r>
        <w:t>j) Ministerie van Sociale Zaken en Werkgelegenheid:</w:t>
      </w:r>
    </w:p>
    <w:p>
      <w:r>
        <w:t>a) Bestuursdepartement;</w:t>
      </w:r>
    </w:p>
    <w:p>
      <w:r>
        <w:t>b) Inspectie Werk en Inkomen Agentschap SZW;</w:t>
      </w:r>
    </w:p>
    <w:p>
      <w:r>
        <w:t>k) Ministerie van Verkeer en Waterstaat:</w:t>
      </w:r>
    </w:p>
    <w:p>
      <w:r>
        <w:t>a) Bestuursdepartement;</w:t>
      </w:r>
    </w:p>
    <w:p>
      <w:r>
        <w:t>b) Directoraat-Generaal Transport en Luchtvaart;</w:t>
      </w:r>
    </w:p>
    <w:p>
      <w:r>
        <w:t>c) Directoraat-generaal Personenvervoer;</w:t>
      </w:r>
    </w:p>
    <w:p>
      <w:r>
        <w:t>d) Directoraat-generaal Water;</w:t>
      </w:r>
    </w:p>
    <w:p>
      <w:r>
        <w:t>e) Centrale diensten (Central Services);</w:t>
      </w:r>
    </w:p>
    <w:p>
      <w:r>
        <w:t>f) Shared services Organisatie Verkeer en Watersaat;</w:t>
      </w:r>
    </w:p>
    <w:p>
      <w:r>
        <w:t>g) Koninklijke Nederlandse Meteorologisch Instituut KNMI;</w:t>
      </w:r>
    </w:p>
    <w:p>
      <w:r>
        <w:t>h) Rijkswaterstaat, Bestuur De afzonderlijke regionale Diensten van Rijkswaterstaat (Each individual regional service of the Directorate-general of Public Works and Water Management);</w:t>
      </w:r>
    </w:p>
    <w:p>
      <w:r>
        <w:t>i) De afzonderlijke specialistische diensten van Rijkswaterstaat (Each individual specialist service of the Directorate- general of Public Works and Water Management);</w:t>
      </w:r>
    </w:p>
    <w:p>
      <w:r>
        <w:t>j) Adviesdienst Geo-Informatie en ICT;</w:t>
      </w:r>
    </w:p>
    <w:p>
      <w:r>
        <w:t>k) Adviesdienst Verkeer en Vervoer (AVV);</w:t>
      </w:r>
    </w:p>
    <w:p>
      <w:r>
        <w:t>l) Bouwdienst;</w:t>
      </w:r>
    </w:p>
    <w:p>
      <w:r>
        <w:t>(m)Corporate Dienst;</w:t>
      </w:r>
    </w:p>
    <w:p>
      <w:r>
        <w:t>n) Data ICT Dienst;</w:t>
      </w:r>
    </w:p>
    <w:p>
      <w:r>
        <w:t>o) Dienst Verkeer en Scheepvaart;</w:t>
      </w:r>
    </w:p>
    <w:p>
      <w:r>
        <w:t>p) Dienst Weg- en Waterbouwkunde (DWW);</w:t>
      </w:r>
    </w:p>
    <w:p>
      <w:r>
        <w:t>q) Rijksinstituut voor Kunst en Zee (RIKZ);</w:t>
      </w:r>
    </w:p>
    <w:p>
      <w:r>
        <w:t>r) Rijksinstituut voor Integraal Zoetwaterbeheer en Afvalwaterbehandeling (RIZA);</w:t>
      </w:r>
    </w:p>
    <w:p>
      <w:r>
        <w:t>s) Waterdienst;</w:t>
      </w:r>
    </w:p>
    <w:p>
      <w:r>
        <w:t>t) Inspectie Verkeer en Waterstaat, Hoofddirectie;</w:t>
      </w:r>
    </w:p>
    <w:p>
      <w:r>
        <w:t>u) Port state Control;</w:t>
      </w:r>
    </w:p>
    <w:p>
      <w:r>
        <w:t>v) Directie Toezichtontwikkeling Communicatie en Onderzoek (TCO);</w:t>
      </w:r>
    </w:p>
    <w:p>
      <w:r>
        <w:t>(w)Toezichthouder Beheer Eenheid Lucht;</w:t>
      </w:r>
    </w:p>
    <w:p>
      <w:r>
        <w:t>x) Toezichthouder Beheer Eenheid Water;</w:t>
      </w:r>
    </w:p>
    <w:p>
      <w:r>
        <w:t>y) Toezichthouder Beheer Eenheid Land;</w:t>
      </w:r>
    </w:p>
    <w:p>
      <w:r>
        <w:t>l) Ministerie van Volkshuisvesting, Ruimtelijke Ordening en Milieubeheer Bestuursdepartement:</w:t>
      </w:r>
    </w:p>
    <w:p>
      <w:r>
        <w:t>a) Directoraat-generaal Wonen, Wijken en Integratie;</w:t>
      </w:r>
    </w:p>
    <w:p>
      <w:r>
        <w:t>b) Directoraat-generaal Ruimte;</w:t>
      </w:r>
    </w:p>
    <w:p>
      <w:r>
        <w:t>c) Directoraat-generaal Milieubeheer;</w:t>
      </w:r>
    </w:p>
    <w:p>
      <w:r>
        <w:t>d) Rijksgebouwendienst;</w:t>
      </w:r>
    </w:p>
    <w:p>
      <w:r>
        <w:t>e) VROM Inspectie;</w:t>
      </w:r>
    </w:p>
    <w:p>
      <w:r>
        <w:t>(m)Ministerie van Volksgezondheid, Welzijn en Sport:</w:t>
      </w:r>
    </w:p>
    <w:p>
      <w:r>
        <w:t>a) Bestuursdepartement;</w:t>
      </w:r>
    </w:p>
    <w:p>
      <w:r>
        <w:t>b) Inspectie Gezondheidsbescherming, Waren en Veterinaire Zaken;</w:t>
      </w:r>
    </w:p>
    <w:p>
      <w:r>
        <w:t>c) Inspectie Gezondheidszorg;</w:t>
      </w:r>
    </w:p>
    <w:p>
      <w:r>
        <w:t>d) Inspectie Jeugdhulpverlening en Jeugdbescherming;</w:t>
      </w:r>
    </w:p>
    <w:p>
      <w:r>
        <w:t>e) Rijksinstituut voor de Volksgezondheid en Milieu (RIVM);</w:t>
      </w:r>
    </w:p>
    <w:p>
      <w:r>
        <w:t>f) Sociaal en Cultureel Planbureau;</w:t>
      </w:r>
    </w:p>
    <w:p>
      <w:r>
        <w:t>g) Agentschap t.b.v. het College ter Beoordeling van Geneesmiddelen;</w:t>
      </w:r>
    </w:p>
    <w:p>
      <w:r>
        <w:t>n) Tweede Kamer der Staten-Generaal;</w:t>
      </w:r>
    </w:p>
    <w:p>
      <w:r>
        <w:t>o) Eerste Kamer der Staten-Generaal;</w:t>
      </w:r>
    </w:p>
    <w:p>
      <w:r>
        <w:t>p) Raad van State;</w:t>
      </w:r>
    </w:p>
    <w:p>
      <w:r>
        <w:t>q) Algemene Rekenkamer;</w:t>
      </w:r>
    </w:p>
    <w:p>
      <w:r>
        <w:t>r) Nationale Ombudsman;</w:t>
      </w:r>
    </w:p>
    <w:p>
      <w:r>
        <w:t>s) Kanselarij der Nederlandse Orden;</w:t>
      </w:r>
    </w:p>
    <w:p>
      <w:r>
        <w:t>t) Kabinet der Koningin;</w:t>
      </w:r>
    </w:p>
    <w:p>
      <w:r>
        <w:t>u) Raad voor de rechtspraak en de Rechtbanken.</w:t>
      </w:r>
    </w:p>
    <w:p>
      <w:r>
        <w:t>(20) AUSTRIA</w:t>
      </w:r>
    </w:p>
    <w:p>
      <w:r>
        <w:t>a) Bundeskanzleramt;</w:t>
      </w:r>
    </w:p>
    <w:p>
      <w:r>
        <w:t>b) Bundesministerium für europäische und internationale Angelegenheiten;</w:t>
      </w:r>
    </w:p>
    <w:p>
      <w:r>
        <w:t>c) Bundesministerium für Finanzen;</w:t>
      </w:r>
    </w:p>
    <w:p>
      <w:r>
        <w:t>d) Bundesministerium für Gesundheit, Familie und Jugend;</w:t>
      </w:r>
    </w:p>
    <w:p>
      <w:r>
        <w:t>e) Bundesministerium für Inneres Bundesministerium für Justiz;</w:t>
      </w:r>
    </w:p>
    <w:p>
      <w:r>
        <w:t>f) Bundesministerium für Landesverteidigung;</w:t>
      </w:r>
    </w:p>
    <w:p>
      <w:r>
        <w:t>g) Bundesministerium für Land- und Forstwirtschaft, Umwelt und Wasserwirtschaft;</w:t>
      </w:r>
    </w:p>
    <w:p>
      <w:r>
        <w:t>h) Bundesministerium für Soziales und Konsumentenschutz;</w:t>
      </w:r>
    </w:p>
    <w:p>
      <w:r>
        <w:t>i) Bundesministerium für Unterricht, Kunst und Kultur;</w:t>
      </w:r>
    </w:p>
    <w:p>
      <w:r>
        <w:t>j) Bundesministerium für Verkehr, Innovation und Technologie;</w:t>
      </w:r>
    </w:p>
    <w:p>
      <w:r>
        <w:t>k) Bundesministerium für Wirtschaft und Arbeit;</w:t>
      </w:r>
    </w:p>
    <w:p>
      <w:r>
        <w:t>l) Bundesministerium für Wissenschaft und Forschung;</w:t>
      </w:r>
    </w:p>
    <w:p>
      <w:r>
        <w:t>(m)Österreichische Forschungs- und Prüfzentrum Arsenal Gesellschaft m.b.H;</w:t>
      </w:r>
    </w:p>
    <w:p>
      <w:r>
        <w:t>n) Bundesbeschaffung G.m.b.H;</w:t>
      </w:r>
    </w:p>
    <w:p>
      <w:r>
        <w:t>o) Bundesrechenzentrum G.m.b.H.</w:t>
      </w:r>
    </w:p>
    <w:p>
      <w:r>
        <w:t>(21) POLAND</w:t>
      </w:r>
    </w:p>
    <w:p>
      <w:r>
        <w:t>a) Kancelaria Prezydenta RP;</w:t>
      </w:r>
    </w:p>
    <w:p>
      <w:r>
        <w:t>b) Kancelaria Sejmu RP Kancelaria Senatu RP Kancelaria Prezesa Rady Ministrów;</w:t>
      </w:r>
    </w:p>
    <w:p>
      <w:r>
        <w:t>c) Sąd Najwyższy;</w:t>
      </w:r>
    </w:p>
    <w:p>
      <w:r>
        <w:t>d) Naczelny Sąd Administracyjny;</w:t>
      </w:r>
    </w:p>
    <w:p>
      <w:r>
        <w:t>e) Wojewódzkie sądy administracyjne;</w:t>
      </w:r>
    </w:p>
    <w:p>
      <w:r>
        <w:t>f) Sądy powszechne — rejonowe, okręgowe i apelacyjne;</w:t>
      </w:r>
    </w:p>
    <w:p>
      <w:r>
        <w:t>g) Trybunał Konstytucyjny;</w:t>
      </w:r>
    </w:p>
    <w:p>
      <w:r>
        <w:t>h) Najwyższa Izba Kontroli;</w:t>
      </w:r>
    </w:p>
    <w:p>
      <w:r>
        <w:t>i) Biuro Rzecznika Praw Obywatelskich;</w:t>
      </w:r>
    </w:p>
    <w:p>
      <w:r>
        <w:t>j) Biuro Rzecznika Praw Dziecka;</w:t>
      </w:r>
    </w:p>
    <w:p>
      <w:r>
        <w:t>k) Biuro Ochrony Rządu;</w:t>
      </w:r>
    </w:p>
    <w:p>
      <w:r>
        <w:t>l) Biuro Bezpieczeństwa Narodowego;</w:t>
      </w:r>
    </w:p>
    <w:p>
      <w:r>
        <w:t>(m)Centralne Biuro Antykorupcyjne;</w:t>
      </w:r>
    </w:p>
    <w:p>
      <w:r>
        <w:t>n) Ministerstwo Pracy i Polityki Społecznej;</w:t>
      </w:r>
    </w:p>
    <w:p>
      <w:r>
        <w:t>o) Ministerstwo Finansów;</w:t>
      </w:r>
    </w:p>
    <w:p>
      <w:r>
        <w:t>p) Ministerstwo Gospodarki;</w:t>
      </w:r>
    </w:p>
    <w:p>
      <w:r>
        <w:t>q) Ministerstwo Rozwoju Regionalnego;</w:t>
      </w:r>
    </w:p>
    <w:p>
      <w:r>
        <w:t>r) Ministerstwo Kultury i Dziedzictwa Narodowego;</w:t>
      </w:r>
    </w:p>
    <w:p>
      <w:r>
        <w:t>s) Ministerstwo Edukacji Narodowej;</w:t>
      </w:r>
    </w:p>
    <w:p>
      <w:r>
        <w:t>t) Ministerstwo Obrony Narodowej;</w:t>
      </w:r>
    </w:p>
    <w:p>
      <w:r>
        <w:t>u) Ministerstwo Rolnictwa i Rozwoju Wsi Ministerstwo Skarbu Państwa;</w:t>
      </w:r>
    </w:p>
    <w:p>
      <w:r>
        <w:t>v) Ministerstwo Sprawiedliwości;</w:t>
      </w:r>
    </w:p>
    <w:p>
      <w:r>
        <w:t>(w)Ministerstwo Infrastruktury;</w:t>
      </w:r>
    </w:p>
    <w:p>
      <w:r>
        <w:t>x) Ministerstwo Nauki i Szkolnictwa Wyższego;</w:t>
      </w:r>
    </w:p>
    <w:p>
      <w:r>
        <w:t>y) Ministerstwo Środowiska;</w:t>
      </w:r>
    </w:p>
    <w:p>
      <w:r>
        <w:t>z) Ministerstwo Spraw Wewnętrznych i Administracji;</w:t>
      </w:r>
    </w:p>
    <w:p>
      <w:r>
        <w:t>(aa)Ministerstwo Spraw Zagranicznych;</w:t>
      </w:r>
    </w:p>
    <w:p>
      <w:r>
        <w:t>(bb)Ministerstwo Zdrowia;</w:t>
      </w:r>
    </w:p>
    <w:p>
      <w:r>
        <w:t>(cc)Ministerstwo Sportu i Turystyki;</w:t>
      </w:r>
    </w:p>
    <w:p>
      <w:r>
        <w:t>(dd)Urząd Komitetu Integracji Europejskiej;</w:t>
      </w:r>
    </w:p>
    <w:p>
      <w:r>
        <w:t>(ee)Urząd Patentowy Rzeczypospolitej Polskiej;</w:t>
      </w:r>
    </w:p>
    <w:p>
      <w:r>
        <w:t>(ff)Urząd Regulacji Energetyki;</w:t>
      </w:r>
    </w:p>
    <w:p>
      <w:r>
        <w:t>(gg)Urząd do Spraw Kombatantów i Osób Represjonowanych;</w:t>
      </w:r>
    </w:p>
    <w:p>
      <w:r>
        <w:t>(hh)Urząd Transportu Kolejowego;</w:t>
      </w:r>
    </w:p>
    <w:p>
      <w:r>
        <w:t>ii) Urząd Dozoru Technicznego;</w:t>
      </w:r>
    </w:p>
    <w:p>
      <w:r>
        <w:t>(jj) (Urząd Rejestracji Produktów Leczniczych, Wyrobów Medycznych i Produktów Biobójczych;</w:t>
      </w:r>
    </w:p>
    <w:p>
      <w:r>
        <w:t>(kk)Urząd do Spraw Repatriacji i Cudzoziemców Urząd Zamówień Publicznych;</w:t>
      </w:r>
    </w:p>
    <w:p>
      <w:r>
        <w:t>(ll) Urząd Ochrony Konkurencji i KonsumentówUrząd Lotnictwa Cywilnego;</w:t>
      </w:r>
    </w:p>
    <w:p>
      <w:r>
        <w:t>(mm)Urząd Komunikacji Elektronicznej;</w:t>
      </w:r>
    </w:p>
    <w:p>
      <w:r>
        <w:t>(nn)Wyższy Urząd Górniczy;</w:t>
      </w:r>
    </w:p>
    <w:p>
      <w:r>
        <w:t>(oo)Główny Urząd Miar;</w:t>
      </w:r>
    </w:p>
    <w:p>
      <w:r>
        <w:t>(pp)Główny Urząd Geodezji i Kartografii;</w:t>
      </w:r>
    </w:p>
    <w:p>
      <w:r>
        <w:t>(qq)Główny Urząd Nadzoru Budowlanego;</w:t>
      </w:r>
    </w:p>
    <w:p>
      <w:r>
        <w:t>(rr)Główny Urząd Statystyczny;</w:t>
      </w:r>
    </w:p>
    <w:p>
      <w:r>
        <w:t>(ss)Krajowa Rada Radiofonii i Telewizji;</w:t>
      </w:r>
    </w:p>
    <w:p>
      <w:r>
        <w:t>(tt) Generalny Inspektor Ochrony Danych Osobowych;</w:t>
      </w:r>
    </w:p>
    <w:p>
      <w:r>
        <w:t>(uu)Państwowa Komisja Wyborcza;</w:t>
      </w:r>
    </w:p>
    <w:p>
      <w:r>
        <w:t>(vv)Państwowa Inspekcja Pracy Rządowe Centrum Legislacji;</w:t>
      </w:r>
    </w:p>
    <w:p>
      <w:r>
        <w:t>(ww)Narodowy Fundusz Zdrowia Polska Akademia Nauk;</w:t>
      </w:r>
    </w:p>
    <w:p>
      <w:r>
        <w:t>(xx)Polskie Centrum Akredytacji;</w:t>
      </w:r>
    </w:p>
    <w:p>
      <w:r>
        <w:t>(yy)Polskie Centrum Badań i Certyfikacji;</w:t>
      </w:r>
    </w:p>
    <w:p>
      <w:r>
        <w:t>(zz)Polska Organizacja Turystyczna;</w:t>
      </w:r>
    </w:p>
    <w:p>
      <w:r>
        <w:t>(aaa)Polski Komitet Normalizacyjny;</w:t>
      </w:r>
    </w:p>
    <w:p>
      <w:r>
        <w:t>(bbb)Zakład Ubezpieczeń Społecznych;</w:t>
      </w:r>
    </w:p>
    <w:p>
      <w:r>
        <w:t>(ccc)Komisja Nadzoru Finansowego;</w:t>
      </w:r>
    </w:p>
    <w:p>
      <w:r>
        <w:t>(ddd)Naczelna Dyrekcja Archiwów Państwowych;</w:t>
      </w:r>
    </w:p>
    <w:p>
      <w:r>
        <w:t>(eee)Kasa Rolniczego Ubezpieczenia Społecznego Generalna Dyrekcja Dróg</w:t>
      </w:r>
    </w:p>
    <w:p>
      <w:r>
        <w:t>Krajowych i Autostrad;</w:t>
      </w:r>
    </w:p>
    <w:p>
      <w:r>
        <w:t>(fff)Państwowa Inspekcja Ochrony Roślin i Nasiennictwa;</w:t>
      </w:r>
    </w:p>
    <w:p>
      <w:r>
        <w:t>(ggg)Komenda Główna Państwowej Straży Pożarnej;</w:t>
      </w:r>
    </w:p>
    <w:p>
      <w:r>
        <w:t>(hhh)Komenda Główna Policji;</w:t>
      </w:r>
    </w:p>
    <w:p>
      <w:r>
        <w:t>(iii)Komenda Główna Straży Granicznej;</w:t>
      </w:r>
    </w:p>
    <w:p>
      <w:r>
        <w:t>(jjj)Inspekcja Jakości Handlowej Artykułów Rolno-Spożywczych;</w:t>
      </w:r>
    </w:p>
    <w:p>
      <w:r>
        <w:t>(kkk)Główny Inspektorat Ochrony Środowiska;</w:t>
      </w:r>
    </w:p>
    <w:p>
      <w:r>
        <w:t>(lll)Główny Inspektorat Transportu Drogowego;</w:t>
      </w:r>
    </w:p>
    <w:p>
      <w:r>
        <w:t>(mmm) Główny Inspektorat Farmaceutyczny;</w:t>
      </w:r>
    </w:p>
    <w:p>
      <w:r>
        <w:t>(nnn)Główny Inspektorat Sanitarny;</w:t>
      </w:r>
    </w:p>
    <w:p>
      <w:r>
        <w:t>(ooo)Główny Inspektorat Weterynarii;</w:t>
      </w:r>
    </w:p>
    <w:p>
      <w:r>
        <w:t>(ppp)Agencja Bezpieczeństwa Wewnętrznego;</w:t>
      </w:r>
    </w:p>
    <w:p>
      <w:r>
        <w:t>(qqq)Agencja Wywiadu;</w:t>
      </w:r>
    </w:p>
    <w:p>
      <w:r>
        <w:t>(rrr)Agencja Mienia Wojskowego;</w:t>
      </w:r>
    </w:p>
    <w:p>
      <w:r>
        <w:t>(sss)Wojskowa Agencja Mieszkaniowa;</w:t>
      </w:r>
    </w:p>
    <w:p>
      <w:r>
        <w:t>(ttt)Agencja Restrukturyzacji i Modernizacji Rolnictwa;</w:t>
      </w:r>
    </w:p>
    <w:p>
      <w:r>
        <w:t>(uuu)Agencja Rynku Rolnego;</w:t>
      </w:r>
    </w:p>
    <w:p>
      <w:r>
        <w:t>(vvv)Agencja Nieruchomości Rolnych;</w:t>
      </w:r>
    </w:p>
    <w:p>
      <w:r>
        <w:t>(www) Państwowa Agencja Atomistyki;</w:t>
      </w:r>
    </w:p>
    <w:p>
      <w:r>
        <w:t>(xxx)Polska Agencja Żeglugi Powietrznej;</w:t>
      </w:r>
    </w:p>
    <w:p>
      <w:r>
        <w:t>(yyy)Polska Agencja Rozwiązywania Problemów Alkoholowych;</w:t>
      </w:r>
    </w:p>
    <w:p>
      <w:r>
        <w:t>(zzz)Agencja Rezerw Materiałowych;</w:t>
      </w:r>
    </w:p>
    <w:p>
      <w:r>
        <w:t>(aaaa)Narodowy Bank Polski;</w:t>
      </w:r>
    </w:p>
    <w:p>
      <w:r>
        <w:t>(bbbb) Narodowy Fundusz Ochrony Środowiska i Gospodarki Wodnej;</w:t>
      </w:r>
    </w:p>
    <w:p>
      <w:r>
        <w:t>(cccc)Państwowy Fundusz Rehabilitacji Osób Niepełnosprawnych;</w:t>
      </w:r>
    </w:p>
    <w:p>
      <w:r>
        <w:t>(dddd) Instytut Pamięci Narodowej — Komisja Ścigania Zbrodni Przeciwko</w:t>
      </w:r>
    </w:p>
    <w:p>
      <w:r>
        <w:t>Narodowi Polskiemu Rada Ochrony;</w:t>
      </w:r>
    </w:p>
    <w:p>
      <w:r>
        <w:t>(eeee)Pamięci Walk i Męczeństwa;</w:t>
      </w:r>
    </w:p>
    <w:p>
      <w:r>
        <w:t>(ffff)Służba Celna Rzeczypospolitej Polskiej;</w:t>
      </w:r>
    </w:p>
    <w:p>
      <w:r>
        <w:t>(gggg) Państwowe Gospodarstwo Leśne ‘Lasy Państwowe’;</w:t>
      </w:r>
    </w:p>
    <w:p>
      <w:r>
        <w:t>(hhhh) Polska Agencja Rozwoju Przedsiębiorczości;</w:t>
      </w:r>
    </w:p>
    <w:p>
      <w:r>
        <w:t>(iiii)Urzędy wojewódzkie;</w:t>
      </w:r>
    </w:p>
    <w:p>
      <w:r>
        <w:t>(jjjj)Samodzielne Publiczne Zakłady Opieki Zdrowotnej, jeśli ich organem</w:t>
      </w:r>
    </w:p>
    <w:p>
      <w:r>
        <w:t>założycielskim jest minister, centralny organ administracji rządowej lub wojewoda.</w:t>
      </w:r>
    </w:p>
    <w:p>
      <w:r>
        <w:t>(22) PORTUGAL</w:t>
      </w:r>
    </w:p>
    <w:p>
      <w:r>
        <w:t>a) Presidência do Conselho de Ministros;</w:t>
      </w:r>
    </w:p>
    <w:p>
      <w:r>
        <w:t>b) Ministério das Finanças e da Administração Pública;</w:t>
      </w:r>
    </w:p>
    <w:p>
      <w:r>
        <w:t>c) Ministério da Defesa Nacional;</w:t>
      </w:r>
    </w:p>
    <w:p>
      <w:r>
        <w:t>d) Ministério dos Negócios Estrangeiros;</w:t>
      </w:r>
    </w:p>
    <w:p>
      <w:r>
        <w:t>e) Ministério da Administração Interna;</w:t>
      </w:r>
    </w:p>
    <w:p>
      <w:r>
        <w:t>f) Ministério da Justiça;</w:t>
      </w:r>
    </w:p>
    <w:p>
      <w:r>
        <w:t>g) Ministério da Economia e da Inovação;</w:t>
      </w:r>
    </w:p>
    <w:p>
      <w:r>
        <w:t>h) Ministério da Agricultura, Desenvolvimento Rural e Pescas;</w:t>
      </w:r>
    </w:p>
    <w:p>
      <w:r>
        <w:t>i) Ministério da Educação Ministério da Ciência, Tecnologia e do Ensino Superior;</w:t>
      </w:r>
    </w:p>
    <w:p>
      <w:r>
        <w:t>j) Ministério da Cultura;</w:t>
      </w:r>
    </w:p>
    <w:p>
      <w:r>
        <w:t>k) Ministério da Saúde;</w:t>
      </w:r>
    </w:p>
    <w:p>
      <w:r>
        <w:t>l) Ministério do Trabalho e da Solidariedade Social;</w:t>
      </w:r>
    </w:p>
    <w:p>
      <w:r>
        <w:t>(m)Ministério das Obras Públicas, Transportes e Comunicações;</w:t>
      </w:r>
    </w:p>
    <w:p>
      <w:r>
        <w:t>n) Ministério do Ambiente, do Ordenamento do Território e do Desenvolvimento Regional;</w:t>
      </w:r>
    </w:p>
    <w:p>
      <w:r>
        <w:t>o) Presidença da Republica;</w:t>
      </w:r>
    </w:p>
    <w:p>
      <w:r>
        <w:t>p) Tribunal Constitucional;</w:t>
      </w:r>
    </w:p>
    <w:p>
      <w:r>
        <w:t>q) Tribunal de Contas;</w:t>
      </w:r>
    </w:p>
    <w:p>
      <w:r>
        <w:t>r) Provedoria de Justiça.</w:t>
      </w:r>
    </w:p>
    <w:p>
      <w:r>
        <w:t>(23) ROMANIA</w:t>
      </w:r>
    </w:p>
    <w:p>
      <w:r>
        <w:t>a) Administrația Prezidențială;</w:t>
      </w:r>
    </w:p>
    <w:p>
      <w:r>
        <w:t>b) Senatul României;</w:t>
      </w:r>
    </w:p>
    <w:p>
      <w:r>
        <w:t>c) Camera Deputaților;</w:t>
      </w:r>
    </w:p>
    <w:p>
      <w:r>
        <w:t>d) Inalta Curte de Casație și Justiție;</w:t>
      </w:r>
    </w:p>
    <w:p>
      <w:r>
        <w:t>e) Curtea Constituțională;</w:t>
      </w:r>
    </w:p>
    <w:p>
      <w:r>
        <w:t>f) Consiliul Legislativ;</w:t>
      </w:r>
    </w:p>
    <w:p>
      <w:r>
        <w:t>g) Curtea de Conturi;</w:t>
      </w:r>
    </w:p>
    <w:p>
      <w:r>
        <w:t>h) Consiliul Superior al Magistraturii;</w:t>
      </w:r>
    </w:p>
    <w:p>
      <w:r>
        <w:t>i) Parchetul de pe lângă Inalta Curte de Casație și Justiție;</w:t>
      </w:r>
    </w:p>
    <w:p>
      <w:r>
        <w:t>j) Secretariatul General al Guvernului;</w:t>
      </w:r>
    </w:p>
    <w:p>
      <w:r>
        <w:t>k) Cancelaria primului ministru;</w:t>
      </w:r>
    </w:p>
    <w:p>
      <w:r>
        <w:t>l) Ministerul Afacerilor Externe;</w:t>
      </w:r>
    </w:p>
    <w:p>
      <w:r>
        <w:t>(m)Ministerul Economiei și Finanțelor;</w:t>
      </w:r>
    </w:p>
    <w:p>
      <w:r>
        <w:t>n) Ministerul Justiției;</w:t>
      </w:r>
    </w:p>
    <w:p>
      <w:r>
        <w:t>o) Ministerul Apărării;</w:t>
      </w:r>
    </w:p>
    <w:p>
      <w:r>
        <w:t>p) Ministerul Internelor și Reformei Administrative;</w:t>
      </w:r>
    </w:p>
    <w:p>
      <w:r>
        <w:t>q) Ministerul Muncii, Familiei și Egalității de Șanse;</w:t>
      </w:r>
    </w:p>
    <w:p>
      <w:r>
        <w:t>r) Ministerul pentru Intreprinderi Mici și Mijlocii, Comerț, Turism și Profesii Liberale;</w:t>
      </w:r>
    </w:p>
    <w:p>
      <w:r>
        <w:t>s) Ministerul Agriculturii și Dezvoltării Rurale;</w:t>
      </w:r>
    </w:p>
    <w:p>
      <w:r>
        <w:t>t) Ministerul Transporturilor;</w:t>
      </w:r>
    </w:p>
    <w:p>
      <w:r>
        <w:t>u) Ministerul Dezvoltării, Lucrărilor Publice și Locuinței;</w:t>
      </w:r>
    </w:p>
    <w:p>
      <w:r>
        <w:t>v) Ministerul Educației Cercetării și Tineretului;</w:t>
      </w:r>
    </w:p>
    <w:p>
      <w:r>
        <w:t>(w)Ministerul Sănătății Publice;</w:t>
      </w:r>
    </w:p>
    <w:p>
      <w:r>
        <w:t>x) Ministerul Culturii și Cultelor;</w:t>
      </w:r>
    </w:p>
    <w:p>
      <w:r>
        <w:t>y) Ministerul Comunicațiilor și Tehnologiei Informației;</w:t>
      </w:r>
    </w:p>
    <w:p>
      <w:r>
        <w:t>z) Ministerul Mediului și Dezvoltării Durabile;</w:t>
      </w:r>
    </w:p>
    <w:p>
      <w:r>
        <w:t>(aa)Serviciul Român de Informații;</w:t>
      </w:r>
    </w:p>
    <w:p>
      <w:r>
        <w:t>(bb)Serviciul de Informații Externe;</w:t>
      </w:r>
    </w:p>
    <w:p>
      <w:r>
        <w:t>(cc)Serviciul de Protecție și Pază;</w:t>
      </w:r>
    </w:p>
    <w:p>
      <w:r>
        <w:t>(dd)Serviciul de Telecomunicații Speciale;</w:t>
      </w:r>
    </w:p>
    <w:p>
      <w:r>
        <w:t>(ee)Consiliul Național al Audiovizualului;</w:t>
      </w:r>
    </w:p>
    <w:p>
      <w:r>
        <w:t>(ff)Consiliul Concurenței (CC);</w:t>
      </w:r>
    </w:p>
    <w:p>
      <w:r>
        <w:t>(gg)Direcția Națională Anticorupție;</w:t>
      </w:r>
    </w:p>
    <w:p>
      <w:r>
        <w:t>(hh)Inspectoratul General de Poliție;</w:t>
      </w:r>
    </w:p>
    <w:p>
      <w:r>
        <w:t>ii) Autoritatea Națională pentru Reglementarea și Monitorizarea Achizițiilor Publice;</w:t>
      </w:r>
    </w:p>
    <w:p>
      <w:r>
        <w:t>(jj) Consiliul Național de Soluționare a Contestațiilor;</w:t>
      </w:r>
    </w:p>
    <w:p>
      <w:r>
        <w:t>(kk)Autoritatea Națională de Reglementare pentru Serviciile Comunitare de</w:t>
      </w:r>
    </w:p>
    <w:p>
      <w:r>
        <w:t>Utilități Publice (ANRSC);</w:t>
      </w:r>
    </w:p>
    <w:p>
      <w:r>
        <w:t>(ll) Autoritatea Națională Sanitară Veterinară și pentru Siguranța Alimentelor;</w:t>
      </w:r>
    </w:p>
    <w:p>
      <w:r>
        <w:t>(mm)Autoritatea Națională pentru Protecția Consumatorilor;</w:t>
      </w:r>
    </w:p>
    <w:p>
      <w:r>
        <w:t>(nn)Autoritatea Navală Română;</w:t>
      </w:r>
    </w:p>
    <w:p>
      <w:r>
        <w:t>(oo)Autoritatea Feroviară Română;</w:t>
      </w:r>
    </w:p>
    <w:p>
      <w:r>
        <w:t>(pp)Autoritatea Rutieră Română;</w:t>
      </w:r>
    </w:p>
    <w:p>
      <w:r>
        <w:t>(qq)Autoritatea Națională pentru Protecția Drepturilor Copilului;</w:t>
      </w:r>
    </w:p>
    <w:p>
      <w:r>
        <w:t>(rr)Autoritatea Națională pentru Persoanele cu Handicap;</w:t>
      </w:r>
    </w:p>
    <w:p>
      <w:r>
        <w:t>(ss)Autoritatea Națională pentru Turism;</w:t>
      </w:r>
    </w:p>
    <w:p>
      <w:r>
        <w:t>(tt) Autoritatea Națională pentru Restituirea Proprietăților;</w:t>
      </w:r>
    </w:p>
    <w:p>
      <w:r>
        <w:t>(uu)Autoritatea Națională pentru Tineret;</w:t>
      </w:r>
    </w:p>
    <w:p>
      <w:r>
        <w:t>(vv)Autoritatea Națională pentru Cercetare Științifică;</w:t>
      </w:r>
    </w:p>
    <w:p>
      <w:r>
        <w:t>(ww)Autoritatea Națională pentru Reglementare în Comunicații și Tehnologia</w:t>
      </w:r>
    </w:p>
    <w:p>
      <w:r>
        <w:t>Informației;</w:t>
      </w:r>
    </w:p>
    <w:p>
      <w:r>
        <w:t>(xx)Autoritatea Națională pentru Serviciile Societății Informaționale;</w:t>
      </w:r>
    </w:p>
    <w:p>
      <w:r>
        <w:t>(yy)Autoritatea Electorală Permanente;</w:t>
      </w:r>
    </w:p>
    <w:p>
      <w:r>
        <w:t>(zz)Agenția pentru Strategii Guvernamentale;</w:t>
      </w:r>
    </w:p>
    <w:p>
      <w:r>
        <w:t>(aaa)Agenția Națională a Medicamentului;</w:t>
      </w:r>
    </w:p>
    <w:p>
      <w:r>
        <w:t>(bbb)Agenția Națională pentru Sport;</w:t>
      </w:r>
    </w:p>
    <w:p>
      <w:r>
        <w:t>(ccc)Agenția Națională pentru Ocuparea Forței de Muncă;</w:t>
      </w:r>
    </w:p>
    <w:p>
      <w:r>
        <w:t>(ddd)Agenția Națională de Reglementare în Domeniul Energiei;</w:t>
      </w:r>
    </w:p>
    <w:p>
      <w:r>
        <w:t>(eee)Agenția Română pentru Conservarea Energiei;</w:t>
      </w:r>
    </w:p>
    <w:p>
      <w:r>
        <w:t>(fff)Agenția Națională pentru Resurse Minerale;</w:t>
      </w:r>
    </w:p>
    <w:p>
      <w:r>
        <w:t>(ggg)Agenția Română pentru Investiții Străine;</w:t>
      </w:r>
    </w:p>
    <w:p>
      <w:r>
        <w:t>(hhh)Agenția Națională pentru Întreprinderi Mici și Mijlocii și Cooperație;</w:t>
      </w:r>
    </w:p>
    <w:p>
      <w:r>
        <w:t>(iii)Agenția Națională a Funcționarilor Publici;</w:t>
      </w:r>
    </w:p>
    <w:p>
      <w:r>
        <w:t>(jjj)Agenția Națională de Administrare Fiscală;</w:t>
      </w:r>
    </w:p>
    <w:p>
      <w:r>
        <w:t>(kkk)Agenția de Compensare pentru Achiziții de Tehnică Specială;</w:t>
      </w:r>
    </w:p>
    <w:p>
      <w:r>
        <w:t>(lll)Agenția Națională Anti-doping;</w:t>
      </w:r>
    </w:p>
    <w:p>
      <w:r>
        <w:t>(mmm) Agenția Nucleară;</w:t>
      </w:r>
    </w:p>
    <w:p>
      <w:r>
        <w:t>(nnn)Agenția Națională pentru Protecția Familiei;</w:t>
      </w:r>
    </w:p>
    <w:p>
      <w:r>
        <w:t>(ooo)Agenția Națională pentru Egalitatea de Șanse între Bărbați și Femei;</w:t>
      </w:r>
    </w:p>
    <w:p>
      <w:r>
        <w:t>(ppp)Agenția Națională pentru Protecția Mediului;</w:t>
      </w:r>
    </w:p>
    <w:p>
      <w:r>
        <w:t>(qqq)Agenția națională Antidrog.</w:t>
      </w:r>
    </w:p>
    <w:p>
      <w:r>
        <w:t>(24) SLOVENIA</w:t>
      </w:r>
    </w:p>
    <w:p>
      <w:r>
        <w:t>a) Predsednik Republike Slovenije;</w:t>
      </w:r>
    </w:p>
    <w:p>
      <w:r>
        <w:t>b) Državni zbor Republike Slovenije;</w:t>
      </w:r>
    </w:p>
    <w:p>
      <w:r>
        <w:t>c) Državni svet Republike Slovenije;</w:t>
      </w:r>
    </w:p>
    <w:p>
      <w:r>
        <w:t>d) Varuh človekovih pravic;</w:t>
      </w:r>
    </w:p>
    <w:p>
      <w:r>
        <w:t>e) Ustavno sodišče Republike Slovenije;</w:t>
      </w:r>
    </w:p>
    <w:p>
      <w:r>
        <w:t>f) Računsko sodišče Republike Slovenije;</w:t>
      </w:r>
    </w:p>
    <w:p>
      <w:r>
        <w:t>g) Državna revizijska komisja za revizijo postopkov oddaje javnih naročil;</w:t>
      </w:r>
    </w:p>
    <w:p>
      <w:r>
        <w:t>h) Slovenska akademija znanosti in umetnosti;</w:t>
      </w:r>
    </w:p>
    <w:p>
      <w:r>
        <w:t>i) Vladne službe;</w:t>
      </w:r>
    </w:p>
    <w:p>
      <w:r>
        <w:t>j) Ministrstvo za finance;</w:t>
      </w:r>
    </w:p>
    <w:p>
      <w:r>
        <w:t>k) Ministrstvo za notranje zadeve;</w:t>
      </w:r>
    </w:p>
    <w:p>
      <w:r>
        <w:t>l) Ministrstvo za zunanje zadeve;</w:t>
      </w:r>
    </w:p>
    <w:p>
      <w:r>
        <w:t>(m)Ministrstvo za obrambo;</w:t>
      </w:r>
    </w:p>
    <w:p>
      <w:r>
        <w:t>n) Ministrstvo za pravosodje;</w:t>
      </w:r>
    </w:p>
    <w:p>
      <w:r>
        <w:t>o) Ministrstvo za gospodarstvo;</w:t>
      </w:r>
    </w:p>
    <w:p>
      <w:r>
        <w:t>p) Ministrstvo za kmetijstvo, gozdarstvo in prehrano;</w:t>
      </w:r>
    </w:p>
    <w:p>
      <w:r>
        <w:t>q) Ministrstvo za promet;</w:t>
      </w:r>
    </w:p>
    <w:p>
      <w:r>
        <w:t>r) Ministrstvo za okolje in prostor;</w:t>
      </w:r>
    </w:p>
    <w:p>
      <w:r>
        <w:t>s) Ministrstvo za delo, družino in socialne zadeve;</w:t>
      </w:r>
    </w:p>
    <w:p>
      <w:r>
        <w:t>t) Ministrstvo za zdravje;</w:t>
      </w:r>
    </w:p>
    <w:p>
      <w:r>
        <w:t>u) Ministrstvo za javno upravo;</w:t>
      </w:r>
    </w:p>
    <w:p>
      <w:r>
        <w:t>v) Ministrstvo za šolstvo in šport;</w:t>
      </w:r>
    </w:p>
    <w:p>
      <w:r>
        <w:t>(w)Ministrstvo za visoko šolstvo, znanost in tehnologijo;</w:t>
      </w:r>
    </w:p>
    <w:p>
      <w:r>
        <w:t>x) Ministrstvo za kulturo;</w:t>
      </w:r>
    </w:p>
    <w:p>
      <w:r>
        <w:t>y) Vrhovno sodišče Republike Slovenije višja sodišča okrožna sodišča okrajna sodišča;</w:t>
      </w:r>
    </w:p>
    <w:p>
      <w:r>
        <w:t>z) Vrhovno državno tožilstvo Republike Slovenije;</w:t>
      </w:r>
    </w:p>
    <w:p>
      <w:r>
        <w:t>(aa)Okrožna državna tožilstva;</w:t>
      </w:r>
    </w:p>
    <w:p>
      <w:r>
        <w:t>(bb)Državno pravobranilstvo;</w:t>
      </w:r>
    </w:p>
    <w:p>
      <w:r>
        <w:t>(cc)Upravno sodišče Republike Slovenije Višje delovno in socialno sodišče</w:t>
      </w:r>
    </w:p>
    <w:p>
      <w:r>
        <w:t>delovna sodišča;</w:t>
      </w:r>
    </w:p>
    <w:p>
      <w:r>
        <w:t>(dd)Davčna uprava Republike Slovenije;</w:t>
      </w:r>
    </w:p>
    <w:p>
      <w:r>
        <w:t>(ee)Carinska uprava Republike Slovenije;</w:t>
      </w:r>
    </w:p>
    <w:p>
      <w:r>
        <w:t>(ff)Urad Republike Slovenije za preprečevanje pranja denarja;</w:t>
      </w:r>
    </w:p>
    <w:p>
      <w:r>
        <w:t>(gg)Urad Republike Slovenije za nadzor prirejanja iger na srečo;</w:t>
      </w:r>
    </w:p>
    <w:p>
      <w:r>
        <w:t>(hh)Uprava Republike Slovenije za javna plačila;</w:t>
      </w:r>
    </w:p>
    <w:p>
      <w:r>
        <w:t>ii) Urad Republike Slovenije za nadzor proračuna;</w:t>
      </w:r>
    </w:p>
    <w:p>
      <w:r>
        <w:t>(jj) Policija;</w:t>
      </w:r>
    </w:p>
    <w:p>
      <w:r>
        <w:t>(kk)Inšpektorat Republike Slovenije za notranje zadeve;</w:t>
      </w:r>
    </w:p>
    <w:p>
      <w:r>
        <w:t>(ll) Generalštab Slovenske vojske;</w:t>
      </w:r>
    </w:p>
    <w:p>
      <w:r>
        <w:t>(mm)Uprava Republike Slovenije za zaščito in reševanje;</w:t>
      </w:r>
    </w:p>
    <w:p>
      <w:r>
        <w:t>(nn)Inšpektorat Republike Slovenije za obrambo;</w:t>
      </w:r>
    </w:p>
    <w:p>
      <w:r>
        <w:t>(oo)Inšpektorat Republike Slovenije za varstvo pred naravnimi in drugimi</w:t>
      </w:r>
    </w:p>
    <w:p>
      <w:r>
        <w:t>nesrečami;</w:t>
      </w:r>
    </w:p>
    <w:p>
      <w:r>
        <w:t>(pp)Uprava Republike Slovenije za izvrševanje kazenskih sankcij;</w:t>
      </w:r>
    </w:p>
    <w:p>
      <w:r>
        <w:t>(qq)Urad Republike Slovenije za varstvo konkurence;</w:t>
      </w:r>
    </w:p>
    <w:p>
      <w:r>
        <w:t>(rr)Urad Republike Slovenije za varstvo potrošnikov;</w:t>
      </w:r>
    </w:p>
    <w:p>
      <w:r>
        <w:t>(ss)Tržni inšpektorat Republike Slovenije;</w:t>
      </w:r>
    </w:p>
    <w:p>
      <w:r>
        <w:t>(tt) Urad Republike Slovenije za intelektualno lastnino;</w:t>
      </w:r>
    </w:p>
    <w:p>
      <w:r>
        <w:t>(uu)Inšpektorat Republike Slovenije za elektronske komunikacije, elektronsko</w:t>
      </w:r>
    </w:p>
    <w:p>
      <w:r>
        <w:t>podpisovanje in pošto;</w:t>
      </w:r>
    </w:p>
    <w:p>
      <w:r>
        <w:t>(vv)Inšpektorat za energetiko in rudarstvo;</w:t>
      </w:r>
    </w:p>
    <w:p>
      <w:r>
        <w:t>(ww)Agencija Republike Slovenije za kmetijske trge in razvoj podeželja;</w:t>
      </w:r>
    </w:p>
    <w:p>
      <w:r>
        <w:t>(xx)Inšpektorat Republike Slovenije za kmetijstvo, gozdarstvo in hrano;</w:t>
      </w:r>
    </w:p>
    <w:p>
      <w:r>
        <w:t>(yy)Fitosanitarna uprava Republike Slovenije;</w:t>
      </w:r>
    </w:p>
    <w:p>
      <w:r>
        <w:t>(zz)Veterinarska uprava Republike Slovenije;</w:t>
      </w:r>
    </w:p>
    <w:p>
      <w:r>
        <w:t>(aaa)Uprava Republike Slovenije za pomorstvo;</w:t>
      </w:r>
    </w:p>
    <w:p>
      <w:r>
        <w:t>(bbb)Direkcija Republike Slovenije za caste;</w:t>
      </w:r>
    </w:p>
    <w:p>
      <w:r>
        <w:t>(ccc)Prometni inšpektorat Republike Slovenije;</w:t>
      </w:r>
    </w:p>
    <w:p>
      <w:r>
        <w:t>(ddd)Direkcija za vodenje investicij v javno železniško infrastrukturo;</w:t>
      </w:r>
    </w:p>
    <w:p>
      <w:r>
        <w:t>(eee)Agencija Republike Slovenije za okolje;</w:t>
      </w:r>
    </w:p>
    <w:p>
      <w:r>
        <w:t>(fff)Geodetska uprava Republike Slovenije;</w:t>
      </w:r>
    </w:p>
    <w:p>
      <w:r>
        <w:t>(ggg)Uprava Republike Slovenije za jedrsko varstvo;</w:t>
      </w:r>
    </w:p>
    <w:p>
      <w:r>
        <w:t>(hhh)Inšpektorat Republike Slovenije za okolje in prostor;</w:t>
      </w:r>
    </w:p>
    <w:p>
      <w:r>
        <w:t>(iii)Inšpektorat Republike Slovenije za delo;</w:t>
      </w:r>
    </w:p>
    <w:p>
      <w:r>
        <w:t>(jjj)Zdravstveni inšpektorat;</w:t>
      </w:r>
    </w:p>
    <w:p>
      <w:r>
        <w:t>(kkk)Urad Republike Slovenije za kemikalije;</w:t>
      </w:r>
    </w:p>
    <w:p>
      <w:r>
        <w:t>(lll)Uprava Republike Slovenije za varstvo pred sevanji;</w:t>
      </w:r>
    </w:p>
    <w:p>
      <w:r>
        <w:t>(mmm) Urad Republike Slovenije za meroslovje;</w:t>
      </w:r>
    </w:p>
    <w:p>
      <w:r>
        <w:t>(nnn)Urad za visoko šolstvo;</w:t>
      </w:r>
    </w:p>
    <w:p>
      <w:r>
        <w:t>(ooo)Urad Republike Slovenije za mladino;</w:t>
      </w:r>
    </w:p>
    <w:p>
      <w:r>
        <w:t>(ppp)Inšpektorat Republike Slovenije za šolstvo in šport;</w:t>
      </w:r>
    </w:p>
    <w:p>
      <w:r>
        <w:t>(qqq)Arhiv Republike Slovenije;</w:t>
      </w:r>
    </w:p>
    <w:p>
      <w:r>
        <w:t>(rrr)Inšpektorat Republike Slovenije za kulturo in medije;</w:t>
      </w:r>
    </w:p>
    <w:p>
      <w:r>
        <w:t>(sss)Kabinet predsednika Vlade Republike Slovenije;</w:t>
      </w:r>
    </w:p>
    <w:p>
      <w:r>
        <w:t>(ttt)Generalni sekretariat Vlade Republike Slovenije;</w:t>
      </w:r>
    </w:p>
    <w:p>
      <w:r>
        <w:t>(uuu)Služba vlade za zakonodajo;</w:t>
      </w:r>
    </w:p>
    <w:p>
      <w:r>
        <w:t>(vvv)Služba vlade za evropske zadeve;</w:t>
      </w:r>
    </w:p>
    <w:p>
      <w:r>
        <w:t>(www) Služba vlade za lokalno samoupravo in regionalno politiko;</w:t>
      </w:r>
    </w:p>
    <w:p>
      <w:r>
        <w:t>(xxx)Urad vlade za komuniciranje;</w:t>
      </w:r>
    </w:p>
    <w:p>
      <w:r>
        <w:t>(yyy)Urad za enake možnosti;</w:t>
      </w:r>
    </w:p>
    <w:p>
      <w:r>
        <w:t>(zzz)Urad za verske skupnosti;</w:t>
      </w:r>
    </w:p>
    <w:p>
      <w:r>
        <w:t>(aaaa)Urad za narodnosti;</w:t>
      </w:r>
    </w:p>
    <w:p>
      <w:r>
        <w:t>(bbbb) Urad za makroekonomske analize in razvoj;</w:t>
      </w:r>
    </w:p>
    <w:p>
      <w:r>
        <w:t>(cccc)Statistični urad Republike Slovenije;</w:t>
      </w:r>
    </w:p>
    <w:p>
      <w:r>
        <w:t>(dddd) Slovenska obveščevalno-varnostna agencija;</w:t>
      </w:r>
    </w:p>
    <w:p>
      <w:r>
        <w:t>(eeee)Protokol Republike Slovenije;</w:t>
      </w:r>
    </w:p>
    <w:p>
      <w:r>
        <w:t>(ffff)Urad za varovanje tajnih podatkov;</w:t>
      </w:r>
    </w:p>
    <w:p>
      <w:r>
        <w:t>(gggg) Urad za Slovence v zamejstvu in po svetu;</w:t>
      </w:r>
    </w:p>
    <w:p>
      <w:r>
        <w:t>(hhhh) Služba Vlade Republike Slovenije za razvoj;</w:t>
      </w:r>
    </w:p>
    <w:p>
      <w:r>
        <w:t>(iiii)Informacijski pooblaščenec;</w:t>
      </w:r>
    </w:p>
    <w:p>
      <w:r>
        <w:t>(jjjj)Državna volilna komisija.</w:t>
      </w:r>
    </w:p>
    <w:p>
      <w:r>
        <w:t>(25) SLOVAKIA</w:t>
      </w:r>
    </w:p>
    <w:p>
      <w:r>
        <w:t>Ministries and other central government authorities as referred to in Act No. 575/2001 Coll. on the structure of activities of the Government and central state administration authorities in wording of later regulations:</w:t>
      </w:r>
    </w:p>
    <w:p>
      <w:r>
        <w:t>a) Kancelária Prezidenta Slovenskej republiky;</w:t>
      </w:r>
    </w:p>
    <w:p>
      <w:r>
        <w:t>b) Národná rada Slovenskej republiky;</w:t>
      </w:r>
    </w:p>
    <w:p>
      <w:r>
        <w:t>c) Ministerstvo hospodárstva Slovenskej republiky;</w:t>
      </w:r>
    </w:p>
    <w:p>
      <w:r>
        <w:t>d) Ministerstvo financií Slovenskej republiky;</w:t>
      </w:r>
    </w:p>
    <w:p>
      <w:r>
        <w:t>e) Ministerstvo dopravy, pôšt a telekomunikácií Slovenskej republiky;</w:t>
      </w:r>
    </w:p>
    <w:p>
      <w:r>
        <w:t>f) Ministerstvo pôdohospodárstva Slovenskej republiky;</w:t>
      </w:r>
    </w:p>
    <w:p>
      <w:r>
        <w:t>g) Ministerstvo výstavby a regionálneho rozvoja Slovenskej republiky;</w:t>
      </w:r>
    </w:p>
    <w:p>
      <w:r>
        <w:t>h) Ministerstvo vnútra Slovenskej republiky;</w:t>
      </w:r>
    </w:p>
    <w:p>
      <w:r>
        <w:t>i) Ministerstvo obrany Slovenskej republiky;</w:t>
      </w:r>
    </w:p>
    <w:p>
      <w:r>
        <w:t>j) Ministerstvo spravodlivosti Slovenskej republiky;</w:t>
      </w:r>
    </w:p>
    <w:p>
      <w:r>
        <w:t>k) Ministerstvo zahraničných vecí Slovenskej republiky;</w:t>
      </w:r>
    </w:p>
    <w:p>
      <w:r>
        <w:t>l) Ministerstvo práce, sociálnych vecí a rodiny Slovenskej republiky;</w:t>
      </w:r>
    </w:p>
    <w:p>
      <w:r>
        <w:t>(m)Ministerstvo životného prostredia Slovenskej republiky</w:t>
      </w:r>
    </w:p>
    <w:p>
      <w:r>
        <w:t>n) Ministerstvo školstva Slovenskej republiky;</w:t>
      </w:r>
    </w:p>
    <w:p>
      <w:r>
        <w:t>o) Ministerstvo kultúry Slovenskej republiky;</w:t>
      </w:r>
    </w:p>
    <w:p>
      <w:r>
        <w:t>p) Ministerstvo zdravotníctva Slovenskej republiky;</w:t>
      </w:r>
    </w:p>
    <w:p>
      <w:r>
        <w:t>q) Úrad vlády Slovenskej republiky;</w:t>
      </w:r>
    </w:p>
    <w:p>
      <w:r>
        <w:t>r) Protimonopolný úrad Slovenskej republiky;</w:t>
      </w:r>
    </w:p>
    <w:p>
      <w:r>
        <w:t>s) Štatistický úrad Slovenskej republiky;</w:t>
      </w:r>
    </w:p>
    <w:p>
      <w:r>
        <w:t>t) Úrad geodézie, kartografie a katastra Slovenskej republiky;</w:t>
      </w:r>
    </w:p>
    <w:p>
      <w:r>
        <w:t>u) Úrad jadrového dozoru Slovenskej republiky;</w:t>
      </w:r>
    </w:p>
    <w:p>
      <w:r>
        <w:t>v) Úrad pre normalizáciu, metrológiu a skúšobníctvo Slovenskej republiky;</w:t>
      </w:r>
    </w:p>
    <w:p>
      <w:r>
        <w:t>(w)Úrad pre verejné obstarávanie;</w:t>
      </w:r>
    </w:p>
    <w:p>
      <w:r>
        <w:t>x) Úrad priemyselného vlastníctva Slovenskej republiky;</w:t>
      </w:r>
    </w:p>
    <w:p>
      <w:r>
        <w:t>y) Správa štátnych hmotných rezerv Slovenskej republiky;</w:t>
      </w:r>
    </w:p>
    <w:p>
      <w:r>
        <w:t>z) Národný bezpečnostný úrad;</w:t>
      </w:r>
    </w:p>
    <w:p>
      <w:r>
        <w:t>(aa)Ústavný súd Slovenskej republiky;</w:t>
      </w:r>
    </w:p>
    <w:p>
      <w:r>
        <w:t>(bb)Najvyšši súd Slovenskej republiky;</w:t>
      </w:r>
    </w:p>
    <w:p>
      <w:r>
        <w:t>(cc)Generálna prokuratura Slovenskej republiky;</w:t>
      </w:r>
    </w:p>
    <w:p>
      <w:r>
        <w:t>(dd)Najvyšši kontrolný úrad Slovenskej republiky;</w:t>
      </w:r>
    </w:p>
    <w:p>
      <w:r>
        <w:t>(ee)Telekomunikačný úrad Slovenskej republiky;</w:t>
      </w:r>
    </w:p>
    <w:p>
      <w:r>
        <w:t>(ff)Úrad priemyselného vlastníctva Slovenskej republiky;</w:t>
      </w:r>
    </w:p>
    <w:p>
      <w:r>
        <w:t>(gg)Úrad pre finančný trh;</w:t>
      </w:r>
    </w:p>
    <w:p>
      <w:r>
        <w:t>(hh)Úrad na ochranu osobn ý ch udajov;</w:t>
      </w:r>
    </w:p>
    <w:p>
      <w:r>
        <w:t>ii) Kancelária verejneho ochranu prav.</w:t>
      </w:r>
    </w:p>
    <w:p>
      <w:r>
        <w:t>(26) FINLAND</w:t>
      </w:r>
    </w:p>
    <w:p>
      <w:r>
        <w:t>a) Oikeuskanslerinvirasto — Justitiekanslersämbetet;</w:t>
      </w:r>
    </w:p>
    <w:p>
      <w:r>
        <w:t>b) Liikenne- ja viestintäministeriö — Kommunikationsministeriet:</w:t>
      </w:r>
    </w:p>
    <w:p>
      <w:r>
        <w:t>a) Ajoneuvohallintokeskus AKE — Fordonsförvaltningscentralen AKE;</w:t>
      </w:r>
    </w:p>
    <w:p>
      <w:r>
        <w:t>b) Ilmailuhallinto — Luftfartsförvaltningen;</w:t>
      </w:r>
    </w:p>
    <w:p>
      <w:r>
        <w:t>c) Ilmatieteen laitos — Meteorologiska institutet;</w:t>
      </w:r>
    </w:p>
    <w:p>
      <w:r>
        <w:t>d) Merenkulkulaitos — Sjöfartsverket;</w:t>
      </w:r>
    </w:p>
    <w:p>
      <w:r>
        <w:t>e) Merentutkimuslaitos — Havsforskningsinstitutet;</w:t>
      </w:r>
    </w:p>
    <w:p>
      <w:r>
        <w:t>f) Ratahallintokeskus RHK — Banförvaltningscentralen RHK;</w:t>
      </w:r>
    </w:p>
    <w:p>
      <w:r>
        <w:t>g) Rautatievirasto — Järnvägsverket;</w:t>
      </w:r>
    </w:p>
    <w:p>
      <w:r>
        <w:t>h) Tiehallinto — Vägförvaltningen;</w:t>
      </w:r>
    </w:p>
    <w:p>
      <w:r>
        <w:t>i) Viestintävirasto — Kommunikationsverket;</w:t>
      </w:r>
    </w:p>
    <w:p>
      <w:r>
        <w:t>c) Maa- ja metsätalousministeriö — Jord- och skogsbruksministeriet:</w:t>
      </w:r>
    </w:p>
    <w:p>
      <w:r>
        <w:t>a) Elintarviketurvallisuusvirasto — Livsmedelssäkerhetsverket;</w:t>
      </w:r>
    </w:p>
    <w:p>
      <w:r>
        <w:t>b) Maanmittauslaitos — Lantmäteriverket;</w:t>
      </w:r>
    </w:p>
    <w:p>
      <w:r>
        <w:t>c) Maaseutuvirasto — Landsbygdsverket;</w:t>
      </w:r>
    </w:p>
    <w:p>
      <w:r>
        <w:t>d) Oikeusministeriö — Justitieministeriet:</w:t>
      </w:r>
    </w:p>
    <w:p>
      <w:r>
        <w:t>a) Tietosuojavaltuutetun toimisto — Dataombudsmannens byrå;</w:t>
      </w:r>
    </w:p>
    <w:p>
      <w:r>
        <w:t>b) Tuomioistuimet — Domstolar;</w:t>
      </w:r>
    </w:p>
    <w:p>
      <w:r>
        <w:t>c) Korkein oikeus — Högsta domstolen;</w:t>
      </w:r>
    </w:p>
    <w:p>
      <w:r>
        <w:t>d) Korkein hallinto-oikeus — Högsta förvaltningsdomstolen;</w:t>
      </w:r>
    </w:p>
    <w:p>
      <w:r>
        <w:t>e) Hovioikeudet — Hovrätter;</w:t>
      </w:r>
    </w:p>
    <w:p>
      <w:r>
        <w:t>f) Käräjäoikeudet — Tingsrätter;</w:t>
      </w:r>
    </w:p>
    <w:p>
      <w:r>
        <w:t>g) Hallinto-oikeudet –Förvaltningsdomstolar;</w:t>
      </w:r>
    </w:p>
    <w:p>
      <w:r>
        <w:t>h) Markkinaoikeus — Marknadsdomstolen;</w:t>
      </w:r>
    </w:p>
    <w:p>
      <w:r>
        <w:t>i) Työtuomioistuin — Arbetsdomstolen;</w:t>
      </w:r>
    </w:p>
    <w:p>
      <w:r>
        <w:t>j) Vakuutusoikeus — Försäkringsdomstolen;</w:t>
      </w:r>
    </w:p>
    <w:p>
      <w:r>
        <w:t>k) Kuluttajariitalautakunta — Konsumenttvistenämnden;</w:t>
      </w:r>
    </w:p>
    <w:p>
      <w:r>
        <w:t>l) Vankeinhoitolaitos — Fångvårdsväsendet;</w:t>
      </w:r>
    </w:p>
    <w:p>
      <w:r>
        <w:t>(m)HEUNI — Yhdistyneiden Kansakuntien yhteydessä toimiva Euroopan</w:t>
      </w:r>
    </w:p>
    <w:p>
      <w:r>
        <w:t>kriminaalipolitiikan instituutti — HEUNI — Europeiska institutet för kriminalpolitik, verksamt i anslutning till Förenta nationerna;</w:t>
      </w:r>
    </w:p>
    <w:p>
      <w:r>
        <w:t>n) Konkurssiasiamiehen toimisto — Konkursombudsmannens byrå;</w:t>
      </w:r>
    </w:p>
    <w:p>
      <w:r>
        <w:t>o) Kuluttajariitalautakunta — Konsumenttvistenämnden;</w:t>
      </w:r>
    </w:p>
    <w:p>
      <w:r>
        <w:t>p) Oikeushallinnon palvelukeskus — Justitieförvaltningens servicecentral;</w:t>
      </w:r>
    </w:p>
    <w:p>
      <w:r>
        <w:t>q) Oikeushallinnon tietotekniikkakeskus — Justitieförvaltningens datateknikcentral;</w:t>
      </w:r>
    </w:p>
    <w:p>
      <w:r>
        <w:t>r) Oikeuspoliittinen tutkimuslaitos (Optula) — Rättspolitiska forskningsinstitutet;</w:t>
      </w:r>
    </w:p>
    <w:p>
      <w:r>
        <w:t>s) Oikeusrekisterikeskus — Rättsregistercentralen;</w:t>
      </w:r>
    </w:p>
    <w:p>
      <w:r>
        <w:t>t) Onnettomuustutkintakeskus — Centralen för undersökning av olyckor;</w:t>
      </w:r>
    </w:p>
    <w:p>
      <w:r>
        <w:t>u) Rikosseuraamusvirasto — Brottspåföljdsverket;</w:t>
      </w:r>
    </w:p>
    <w:p>
      <w:r>
        <w:t>v) Rikosseuraamusalan koulutuskeskus — Brottspåföljdsområdets utbildningscentral;</w:t>
      </w:r>
    </w:p>
    <w:p>
      <w:r>
        <w:t>(w)Rikoksentorjuntaneuvosto — Rådet för brottsförebyggande;</w:t>
      </w:r>
    </w:p>
    <w:p>
      <w:r>
        <w:t>x) Saamelaiskäräjät — Sametinget;</w:t>
      </w:r>
    </w:p>
    <w:p>
      <w:r>
        <w:t>y) Valtakunnansyyttäjänvirasto — Riksåklagarämbetet;</w:t>
      </w:r>
    </w:p>
    <w:p>
      <w:r>
        <w:t>z) Vankeinhoitolaitos — Fångvårdsväsendet;</w:t>
      </w:r>
    </w:p>
    <w:p>
      <w:r>
        <w:t>e) Opetusministeriö — Undervisningsministeriet:</w:t>
      </w:r>
    </w:p>
    <w:p>
      <w:r>
        <w:t>a) Opetushallitus — Utbildningsstyrelsen;</w:t>
      </w:r>
    </w:p>
    <w:p>
      <w:r>
        <w:t>b) Valtion elokuvatarkastamo — Statens filmgranskningsbyrå;</w:t>
      </w:r>
    </w:p>
    <w:p>
      <w:r>
        <w:t>f) Puolustusministeriö — Försvarsministeriet:</w:t>
      </w:r>
    </w:p>
    <w:p>
      <w:r>
        <w:t>a) Puolustusvoimat — Försvarsmakten;</w:t>
      </w:r>
    </w:p>
    <w:p>
      <w:r>
        <w:t>g) Sisäasiainministeriö — Inrikesministeriet:</w:t>
      </w:r>
    </w:p>
    <w:p>
      <w:r>
        <w:t>a) Väestörekisterikeskus — Befolkningsregistercentralen;</w:t>
      </w:r>
    </w:p>
    <w:p>
      <w:r>
        <w:t>b) Keskusrikospoliisi — Centralkriminalpolisen;</w:t>
      </w:r>
    </w:p>
    <w:p>
      <w:r>
        <w:t>c) Liikkuva poliisi — Rörliga polisen;</w:t>
      </w:r>
    </w:p>
    <w:p>
      <w:r>
        <w:t>d) Rajavartiolaitos — Gränsbevakningsväsendet;</w:t>
      </w:r>
    </w:p>
    <w:p>
      <w:r>
        <w:t>e) Lääninhallitukset — Länstyrelserna;</w:t>
      </w:r>
    </w:p>
    <w:p>
      <w:r>
        <w:t>f) Suojelupoliisi — Skyddspolisen;</w:t>
      </w:r>
    </w:p>
    <w:p>
      <w:r>
        <w:t>g) Poliisiammattikorkeakoulu — Polisyrkeshögskolan;</w:t>
      </w:r>
    </w:p>
    <w:p>
      <w:r>
        <w:t>h) Poliisin tekniikkakeskus — Polisens teknikcentral;</w:t>
      </w:r>
    </w:p>
    <w:p>
      <w:r>
        <w:t>i) Poliisin tietohallintokeskus — Polisens datacentral;</w:t>
      </w:r>
    </w:p>
    <w:p>
      <w:r>
        <w:t>j) Helsingin kihlakunnan poliisilaitos — Polisinrättningen i Helsingfors;</w:t>
      </w:r>
    </w:p>
    <w:p>
      <w:r>
        <w:t>k) Pelastusopisto — Räddningsverket;</w:t>
      </w:r>
    </w:p>
    <w:p>
      <w:r>
        <w:t>l) Hätäkeskuslaitos — Nödcentralsverket;</w:t>
      </w:r>
    </w:p>
    <w:p>
      <w:r>
        <w:t>(m)Maahanmuuttovirasto — Migrationsverket;</w:t>
      </w:r>
    </w:p>
    <w:p>
      <w:r>
        <w:t>n) Sisäasiainhallinnon palvelukeskus — Inrikesförvaltningens servicecentral;</w:t>
      </w:r>
    </w:p>
    <w:p>
      <w:r>
        <w:t>o) Sosiaali- ja terveysministeriö — Social- och hälsovårdsministeriet;</w:t>
      </w:r>
    </w:p>
    <w:p>
      <w:r>
        <w:t>p) Työttömyysturvan muutoksenhakulautakunta — Besvärsnämnden för utkomstskyddsärenden;</w:t>
      </w:r>
    </w:p>
    <w:p>
      <w:r>
        <w:t>q) Sosiaaliturvan muutoksenhakulautakunta — Besvärsnämnden för social trygghet;</w:t>
      </w:r>
    </w:p>
    <w:p>
      <w:r>
        <w:t>r) Lääkelaitos — Läkemedelsverket;</w:t>
      </w:r>
    </w:p>
    <w:p>
      <w:r>
        <w:t>s) Terveydenhuollon oikeusturvakeskus — Rättsskyddscentralen för hälsovården;</w:t>
      </w:r>
    </w:p>
    <w:p>
      <w:r>
        <w:t>t) Säteilyturvakeskus — Strålsäkerhetscentralen;</w:t>
      </w:r>
    </w:p>
    <w:p>
      <w:r>
        <w:t>u) Kansanterveyslaitos — Folkhälsoinstitutet;</w:t>
      </w:r>
    </w:p>
    <w:p>
      <w:r>
        <w:t>v) Lääkehoidon kehittämiskeskus ROHTO — Utvecklingscentralen för läkemedelsbe-handling;</w:t>
      </w:r>
    </w:p>
    <w:p>
      <w:r>
        <w:t>(w)Sosiaali- ja terveydenhuollon tuotevalvontakeskus — Social- och</w:t>
      </w:r>
    </w:p>
    <w:p>
      <w:r>
        <w:t>hälsovårdens produkttillsynscentral;</w:t>
      </w:r>
    </w:p>
    <w:p>
      <w:r>
        <w:t>x) Sosiaali- ja terveysalan tutkimus- ja kehittämiskeskus Stakes — Forsknings- och utvecklingscentralen för social- och hälsovården Stakes;</w:t>
      </w:r>
    </w:p>
    <w:p>
      <w:r>
        <w:t>y) Vakuutusvalvontavirasto — Försäkringsinspektionen;</w:t>
      </w:r>
    </w:p>
    <w:p>
      <w:r>
        <w:t>z) Työ- ja elinkeinoministeriö — Arbets- och näringsministeriet;</w:t>
      </w:r>
    </w:p>
    <w:p>
      <w:r>
        <w:t>(aa)Kuluttajavirasto — Konsumentverket;</w:t>
      </w:r>
    </w:p>
    <w:p>
      <w:r>
        <w:t>(bb)Kilpailuvirasto — Konkurrensverket;</w:t>
      </w:r>
    </w:p>
    <w:p>
      <w:r>
        <w:t>(cc)Patentti- ja rekisterihallitus — Patent- och registerstyrelsen;</w:t>
      </w:r>
    </w:p>
    <w:p>
      <w:r>
        <w:t>(dd)Valtakunnansovittelijain toimisto — Riksförlikningsmännens byrå;</w:t>
      </w:r>
    </w:p>
    <w:p>
      <w:r>
        <w:t>(ee)Valtion turvapaikanhakijoiden vastaanottokeskukset – Statliga</w:t>
      </w:r>
    </w:p>
    <w:p>
      <w:r>
        <w:t>förläggningar för asylsökande;</w:t>
      </w:r>
    </w:p>
    <w:p>
      <w:r>
        <w:t>(ff)Energiamarkkinavirasto - Energimarknadsverket;</w:t>
      </w:r>
    </w:p>
    <w:p>
      <w:r>
        <w:t>(gg)Geologian tutkimuskeskus — Geologiska forskningscentralen;</w:t>
      </w:r>
    </w:p>
    <w:p>
      <w:r>
        <w:t>(hh)Huoltovarmuuskeskus — Försörjningsberedskapscentralen;</w:t>
      </w:r>
    </w:p>
    <w:p>
      <w:r>
        <w:t>ii) Kuluttajatutkimuskeskus — Konsumentforskningscentralen;</w:t>
      </w:r>
    </w:p>
    <w:p>
      <w:r>
        <w:t>(jj) Matkailun edistämiskeskus (MEK) — Centralen för turistfrämjande;</w:t>
      </w:r>
    </w:p>
    <w:p>
      <w:r>
        <w:t>(kk)Mittatekniikan keskus (MIKES) — Mätteknikcentralen;</w:t>
      </w:r>
    </w:p>
    <w:p>
      <w:r>
        <w:t>(ll) Tekes — teknologian ja innovaatioiden kehittämiskeskus -Tekes — utvecklingscentralen för teknologi och innovationer;</w:t>
      </w:r>
    </w:p>
    <w:p>
      <w:r>
        <w:t>(mm)Turvatekniikan keskus (TUKES) — Säkerhetsteknikcentralen;</w:t>
      </w:r>
    </w:p>
    <w:p>
      <w:r>
        <w:t>(nn)Valtion teknillinen tutkimuskeskus (VTT) — Statens tekniska</w:t>
      </w:r>
    </w:p>
    <w:p>
      <w:r>
        <w:t>forskningscentral;</w:t>
      </w:r>
    </w:p>
    <w:p>
      <w:r>
        <w:t>(oo)Syrjintälautakunta — Nationella diskrimineringsnämnden;</w:t>
      </w:r>
    </w:p>
    <w:p>
      <w:r>
        <w:t>(pp)Työneuvosto — Arbetsrådet;</w:t>
      </w:r>
    </w:p>
    <w:p>
      <w:r>
        <w:t>(qq)Vähemmistövaltuutetun toimisto — Minoritetsombudsmannens byrå;</w:t>
      </w:r>
    </w:p>
    <w:p>
      <w:r>
        <w:t>h) Ulkoasiainministeriö — Utrikesministeriet;</w:t>
      </w:r>
    </w:p>
    <w:p>
      <w:r>
        <w:t>i) Valtioneuvoston kanslia — Statsrådets kansli;</w:t>
      </w:r>
    </w:p>
    <w:p>
      <w:r>
        <w:t>j) Valtiovarainministeriö — Finansministeriet:</w:t>
      </w:r>
    </w:p>
    <w:p>
      <w:r>
        <w:t>a) Valtiokonttori — Statskontoret;</w:t>
      </w:r>
    </w:p>
    <w:p>
      <w:r>
        <w:t>b) Verohallinto — Skatteförvaltningen;</w:t>
      </w:r>
    </w:p>
    <w:p>
      <w:r>
        <w:t>c) Tullilaitos — Tullverket;</w:t>
      </w:r>
    </w:p>
    <w:p>
      <w:r>
        <w:t>d) Tilastokeskus — Statistikcentralen;</w:t>
      </w:r>
    </w:p>
    <w:p>
      <w:r>
        <w:t>e) Valtion taloudellinen tutkimuskeskus — Statens ekonomiska forskningscentral;</w:t>
      </w:r>
    </w:p>
    <w:p>
      <w:r>
        <w:t>k) Ympäristöministeriö — Miljöministeriet:</w:t>
      </w:r>
    </w:p>
    <w:p>
      <w:r>
        <w:t>a) Suomen ympäristökeskus — Finlands miljöcentral;</w:t>
      </w:r>
    </w:p>
    <w:p>
      <w:r>
        <w:t>b) Asumisen rahoitus- ja kehityskeskus — Finansierings- och utvecklingscentralen för boendet Valtiontalouden tarkastusvirasto — Statens revisionsverk.</w:t>
      </w:r>
    </w:p>
    <w:p>
      <w:r>
        <w:t>(27) SWEDEN</w:t>
      </w:r>
    </w:p>
    <w:p>
      <w:r>
        <w:t>A:</w:t>
      </w:r>
    </w:p>
    <w:p>
      <w:r>
        <w:t>a) Affärsverket svenska kraftnät;</w:t>
      </w:r>
    </w:p>
    <w:p>
      <w:r>
        <w:t>b) Akademien för de fria konsterna;</w:t>
      </w:r>
    </w:p>
    <w:p>
      <w:r>
        <w:t>c) Alkohol- och läkemedelssortiments-nämnden;</w:t>
      </w:r>
    </w:p>
    <w:p>
      <w:r>
        <w:t>d) Allmänna pensionsfonden;</w:t>
      </w:r>
    </w:p>
    <w:p>
      <w:r>
        <w:t>e) Allmänna reklamationsnämnden;</w:t>
      </w:r>
    </w:p>
    <w:p>
      <w:r>
        <w:t>f) Ambassader;</w:t>
      </w:r>
    </w:p>
    <w:p>
      <w:r>
        <w:t>g) Ansvarsnämnd, statens;</w:t>
      </w:r>
    </w:p>
    <w:p>
      <w:r>
        <w:t>h) Arbetsdomstolen;</w:t>
      </w:r>
    </w:p>
    <w:p>
      <w:r>
        <w:t>i) Arbetsförmedlingen;</w:t>
      </w:r>
    </w:p>
    <w:p>
      <w:r>
        <w:t>j) Arbetsgivarverk, statens;</w:t>
      </w:r>
    </w:p>
    <w:p>
      <w:r>
        <w:t>k) Arbetslivsinstitutet;</w:t>
      </w:r>
    </w:p>
    <w:p>
      <w:r>
        <w:t>l) Arbetsmiljöverket;</w:t>
      </w:r>
    </w:p>
    <w:p>
      <w:r>
        <w:t>(m)Arkitekturmuseet;</w:t>
      </w:r>
    </w:p>
    <w:p>
      <w:r>
        <w:t>n) Arrendenämnder;</w:t>
      </w:r>
    </w:p>
    <w:p>
      <w:r>
        <w:t>o) Arvsfondsdelegationen;</w:t>
      </w:r>
    </w:p>
    <w:p>
      <w:r>
        <w:t>p) Arvsfondsdelegationen;</w:t>
      </w:r>
    </w:p>
    <w:p>
      <w:r>
        <w:t>B:</w:t>
      </w:r>
    </w:p>
    <w:p>
      <w:r>
        <w:t>a) Banverket;</w:t>
      </w:r>
    </w:p>
    <w:p>
      <w:r>
        <w:t>b) Barnombudsmannen;</w:t>
      </w:r>
    </w:p>
    <w:p>
      <w:r>
        <w:t>c) Beredning för utvärdering av medicinsk metodik, statens;</w:t>
      </w:r>
    </w:p>
    <w:p>
      <w:r>
        <w:t>d) Bergsstaten;</w:t>
      </w:r>
    </w:p>
    <w:p>
      <w:r>
        <w:t>e) Biografbyrå, statens;</w:t>
      </w:r>
    </w:p>
    <w:p>
      <w:r>
        <w:t>f) Biografiskt lexikon, svenskt;</w:t>
      </w:r>
    </w:p>
    <w:p>
      <w:r>
        <w:t>g) Birgittaskolan;</w:t>
      </w:r>
    </w:p>
    <w:p>
      <w:r>
        <w:t>h) Blekinge tekniska högskola;</w:t>
      </w:r>
    </w:p>
    <w:p>
      <w:r>
        <w:t>i) Bokföringsnämnden;</w:t>
      </w:r>
    </w:p>
    <w:p>
      <w:r>
        <w:t>j) Bolagsverket;</w:t>
      </w:r>
    </w:p>
    <w:p>
      <w:r>
        <w:t>k) Bostadsnämnd, statens;</w:t>
      </w:r>
    </w:p>
    <w:p>
      <w:r>
        <w:t>l) Bostadskreditnämnd, statens;</w:t>
      </w:r>
    </w:p>
    <w:p>
      <w:r>
        <w:t>(m)Boverket;</w:t>
      </w:r>
    </w:p>
    <w:p>
      <w:r>
        <w:t>n) Brottsförebyggande rådet;</w:t>
      </w:r>
    </w:p>
    <w:p>
      <w:r>
        <w:t>o) Brottsoffermyndigheten;</w:t>
      </w:r>
    </w:p>
    <w:p>
      <w:r>
        <w:t>C:</w:t>
      </w:r>
    </w:p>
    <w:p>
      <w:r>
        <w:t>a) Centrala studiestödsnämnden</w:t>
      </w:r>
    </w:p>
    <w:p>
      <w:r>
        <w:t>D:</w:t>
      </w:r>
    </w:p>
    <w:p>
      <w:r>
        <w:t>a) Danshögskolan;</w:t>
      </w:r>
    </w:p>
    <w:p>
      <w:r>
        <w:t>b) Datainspektionen;</w:t>
      </w:r>
    </w:p>
    <w:p>
      <w:r>
        <w:t>c) Departementen;</w:t>
      </w:r>
    </w:p>
    <w:p>
      <w:r>
        <w:t>d) Domstolsverket;</w:t>
      </w:r>
    </w:p>
    <w:p>
      <w:r>
        <w:t>e) Dramatiska institutet;</w:t>
      </w:r>
    </w:p>
    <w:p>
      <w:r>
        <w:t>E:</w:t>
      </w:r>
    </w:p>
    <w:p>
      <w:r>
        <w:t>a) Ekeskolan;</w:t>
      </w:r>
    </w:p>
    <w:p>
      <w:r>
        <w:t>b) Ekobrottsmyndigheten;</w:t>
      </w:r>
    </w:p>
    <w:p>
      <w:r>
        <w:t>c) Ekonomistyrningsverket;</w:t>
      </w:r>
    </w:p>
    <w:p>
      <w:r>
        <w:t>d) Ekonomiska rådet;</w:t>
      </w:r>
    </w:p>
    <w:p>
      <w:r>
        <w:t>e) Elsäkerhetsverket;</w:t>
      </w:r>
    </w:p>
    <w:p>
      <w:r>
        <w:t>f) Energimarknadsinspektionen;</w:t>
      </w:r>
    </w:p>
    <w:p>
      <w:r>
        <w:t>g) Energimyndighet, statens;</w:t>
      </w:r>
    </w:p>
    <w:p>
      <w:r>
        <w:t>h) EU/FoU-rådet;</w:t>
      </w:r>
    </w:p>
    <w:p>
      <w:r>
        <w:t>i) Exportkreditnämnden;</w:t>
      </w:r>
    </w:p>
    <w:p>
      <w:r>
        <w:t>j) Exportråd, Sveriges;</w:t>
      </w:r>
    </w:p>
    <w:p>
      <w:r>
        <w:t>F:</w:t>
      </w:r>
    </w:p>
    <w:p>
      <w:r>
        <w:t>a) Fastighetsmäklarnämnden;</w:t>
      </w:r>
    </w:p>
    <w:p>
      <w:r>
        <w:t>b) Fastighetsverk, statens;</w:t>
      </w:r>
    </w:p>
    <w:p>
      <w:r>
        <w:t>c) Fideikommissnämnden;</w:t>
      </w:r>
    </w:p>
    <w:p>
      <w:r>
        <w:t>d) Finansinspektionen;</w:t>
      </w:r>
    </w:p>
    <w:p>
      <w:r>
        <w:t>e) Finanspolitiska rådet;</w:t>
      </w:r>
    </w:p>
    <w:p>
      <w:r>
        <w:t>f) Finsk-svenska gränsälvskommissionen;</w:t>
      </w:r>
    </w:p>
    <w:p>
      <w:r>
        <w:t>g) Fiskeriverket;</w:t>
      </w:r>
    </w:p>
    <w:p>
      <w:r>
        <w:t>h) Flygmedicincentrum;</w:t>
      </w:r>
    </w:p>
    <w:p>
      <w:r>
        <w:t>i) Folkhälsoinstitut, statens;</w:t>
      </w:r>
    </w:p>
    <w:p>
      <w:r>
        <w:t>j) Fonden för fukt- och mögelskador;</w:t>
      </w:r>
    </w:p>
    <w:p>
      <w:r>
        <w:t>k) Forskningsrådet för miljö, areella näringar och samhällsbyggande, Formas;</w:t>
      </w:r>
    </w:p>
    <w:p>
      <w:r>
        <w:t>l) Folke Bernadotte Akademin;</w:t>
      </w:r>
    </w:p>
    <w:p>
      <w:r>
        <w:t>(m)Forskarskattenämnden;</w:t>
      </w:r>
    </w:p>
    <w:p>
      <w:r>
        <w:t>n) Forskningsrådet för arbetsliv och socialvetenskap;</w:t>
      </w:r>
    </w:p>
    <w:p>
      <w:r>
        <w:t>o) FortifikationsverketForum för levande historia;</w:t>
      </w:r>
    </w:p>
    <w:p>
      <w:r>
        <w:t>p) Försvarets materielverk;</w:t>
      </w:r>
    </w:p>
    <w:p>
      <w:r>
        <w:t>q) Försvarets radioanstalt;</w:t>
      </w:r>
    </w:p>
    <w:p>
      <w:r>
        <w:t>r) Försvarets underrättelsenämnd;</w:t>
      </w:r>
    </w:p>
    <w:p>
      <w:r>
        <w:t>s) Försvarshistoriska museer, statens;</w:t>
      </w:r>
    </w:p>
    <w:p>
      <w:r>
        <w:t>t) Försvarshögskolan;</w:t>
      </w:r>
    </w:p>
    <w:p>
      <w:r>
        <w:t>u) Försvarsmakten;</w:t>
      </w:r>
    </w:p>
    <w:p>
      <w:r>
        <w:t>v) Försäkringskassan;</w:t>
      </w:r>
    </w:p>
    <w:p>
      <w:r>
        <w:t>G:</w:t>
      </w:r>
    </w:p>
    <w:p>
      <w:r>
        <w:t>a) Gentekniknämnden;</w:t>
      </w:r>
    </w:p>
    <w:p>
      <w:r>
        <w:t>b) Geologiska undersökning;</w:t>
      </w:r>
    </w:p>
    <w:p>
      <w:r>
        <w:t>c) Geotekniska institut, statens;</w:t>
      </w:r>
    </w:p>
    <w:p>
      <w:r>
        <w:t>d) Giftinformationscentralen;</w:t>
      </w:r>
    </w:p>
    <w:p>
      <w:r>
        <w:t>e) Glesbygdsverket;</w:t>
      </w:r>
    </w:p>
    <w:p>
      <w:r>
        <w:t>f) Grafiska institutet och institutet för högre kommunikation- och reklamutbildning;</w:t>
      </w:r>
    </w:p>
    <w:p>
      <w:r>
        <w:t>g) Granskningsnämnden för radio och TV;</w:t>
      </w:r>
    </w:p>
    <w:p>
      <w:r>
        <w:t>h) Granskningsnämnden för försvarsuppfinningar;</w:t>
      </w:r>
    </w:p>
    <w:p>
      <w:r>
        <w:t>i) Gymnastik- och Idrottshögskolan;</w:t>
      </w:r>
    </w:p>
    <w:p>
      <w:r>
        <w:t>j) Göteborgs universitet;</w:t>
      </w:r>
    </w:p>
    <w:p>
      <w:r>
        <w:t>H:</w:t>
      </w:r>
    </w:p>
    <w:p>
      <w:r>
        <w:t>a) Handelsflottans kultur- och fritidsråd;</w:t>
      </w:r>
    </w:p>
    <w:p>
      <w:r>
        <w:t>b) Handelsflottans pensionsanstalt;</w:t>
      </w:r>
    </w:p>
    <w:p>
      <w:r>
        <w:t>c) Handelssekreterare;</w:t>
      </w:r>
    </w:p>
    <w:p>
      <w:r>
        <w:t>d) Handelskamrar, auktoriserade;</w:t>
      </w:r>
    </w:p>
    <w:p>
      <w:r>
        <w:t>e) Handikappombudsmannen;</w:t>
      </w:r>
    </w:p>
    <w:p>
      <w:r>
        <w:t>f) Handikappråd, statens;</w:t>
      </w:r>
    </w:p>
    <w:p>
      <w:r>
        <w:t>g) Harpsundsnämnden;</w:t>
      </w:r>
    </w:p>
    <w:p>
      <w:r>
        <w:t>h) Haverikommission, statens;</w:t>
      </w:r>
    </w:p>
    <w:p>
      <w:r>
        <w:t>i) Historiska museer, statens;</w:t>
      </w:r>
    </w:p>
    <w:p>
      <w:r>
        <w:t>j) Hjälpmedelsinstitutet;</w:t>
      </w:r>
    </w:p>
    <w:p>
      <w:r>
        <w:t>k) Hovrätterna;</w:t>
      </w:r>
    </w:p>
    <w:p>
      <w:r>
        <w:t>l) Hyresnämnder;</w:t>
      </w:r>
    </w:p>
    <w:p>
      <w:r>
        <w:t>(m)Häktena;</w:t>
      </w:r>
    </w:p>
    <w:p>
      <w:r>
        <w:t>n) Hälso- och sjukvårdens ansvarsnämnd;</w:t>
      </w:r>
    </w:p>
    <w:p>
      <w:r>
        <w:t>o) Högskolan Dalarna;</w:t>
      </w:r>
    </w:p>
    <w:p>
      <w:r>
        <w:t>p) Högskolan i BoråsHögskolan i Gävle;</w:t>
      </w:r>
    </w:p>
    <w:p>
      <w:r>
        <w:t>q) Högskolan i Halmstad;</w:t>
      </w:r>
    </w:p>
    <w:p>
      <w:r>
        <w:t>r) Högskolan i Kalmar;</w:t>
      </w:r>
    </w:p>
    <w:p>
      <w:r>
        <w:t>s) Högskolan i Karlskrona/Ronneby;</w:t>
      </w:r>
    </w:p>
    <w:p>
      <w:r>
        <w:t>t) Högskolan i Kristianstad;</w:t>
      </w:r>
    </w:p>
    <w:p>
      <w:r>
        <w:t>u) Högskolan i Skövde;</w:t>
      </w:r>
    </w:p>
    <w:p>
      <w:r>
        <w:t>v) Högskolan i Trollhättan/Uddevalla;</w:t>
      </w:r>
    </w:p>
    <w:p>
      <w:r>
        <w:t>(w)Högskolan på Gotland;</w:t>
      </w:r>
    </w:p>
    <w:p>
      <w:r>
        <w:t>x) Högskolans avskiljandenämnd;</w:t>
      </w:r>
    </w:p>
    <w:p>
      <w:r>
        <w:t>y) Högskoleverket;</w:t>
      </w:r>
    </w:p>
    <w:p>
      <w:r>
        <w:t>z) Högsta domstolen;</w:t>
      </w:r>
    </w:p>
    <w:p>
      <w:r>
        <w:t>I:</w:t>
      </w:r>
    </w:p>
    <w:p>
      <w:r>
        <w:t>a) ILO kommittén;</w:t>
      </w:r>
    </w:p>
    <w:p>
      <w:r>
        <w:t>b) Inspektionen för arbetslöshetsförsäkringen;</w:t>
      </w:r>
    </w:p>
    <w:p>
      <w:r>
        <w:t>c) Inspektionen för strategiska produkter;</w:t>
      </w:r>
    </w:p>
    <w:p>
      <w:r>
        <w:t>d) Institut för kommunikationsanalys, statens;</w:t>
      </w:r>
    </w:p>
    <w:p>
      <w:r>
        <w:t>e) Institut för psykosocial medicin, statens;</w:t>
      </w:r>
    </w:p>
    <w:p>
      <w:r>
        <w:t>f) Institut för särskilt utbildningsstöd, statens;</w:t>
      </w:r>
    </w:p>
    <w:p>
      <w:r>
        <w:t>g) Institutet för arbetsmarknadspolitisk utvärdering;</w:t>
      </w:r>
    </w:p>
    <w:p>
      <w:r>
        <w:t>h) Institutet för rymdfysik;</w:t>
      </w:r>
    </w:p>
    <w:p>
      <w:r>
        <w:t>i) Institutet för tillväxtpolitiska studier;</w:t>
      </w:r>
    </w:p>
    <w:p>
      <w:r>
        <w:t>j) Institutionsstyrelse, statens;</w:t>
      </w:r>
    </w:p>
    <w:p>
      <w:r>
        <w:t>k) Insättningsgarantinämnden;</w:t>
      </w:r>
    </w:p>
    <w:p>
      <w:r>
        <w:t>l) Integrationsverket;</w:t>
      </w:r>
    </w:p>
    <w:p>
      <w:r>
        <w:t>(m)Internationella programkontoret för utbildningsområdet;</w:t>
      </w:r>
    </w:p>
    <w:p>
      <w:r>
        <w:t>J:</w:t>
      </w:r>
    </w:p>
    <w:p>
      <w:r>
        <w:t>a) Jordbruksverk, statens;</w:t>
      </w:r>
    </w:p>
    <w:p>
      <w:r>
        <w:t>b) Justitiekanslern;</w:t>
      </w:r>
    </w:p>
    <w:p>
      <w:r>
        <w:t>c) Jämställdhetsombudsmannen;</w:t>
      </w:r>
    </w:p>
    <w:p>
      <w:r>
        <w:t>d) Jämställdhetsnämnden;</w:t>
      </w:r>
    </w:p>
    <w:p>
      <w:r>
        <w:t>e) Järnvägar, statens;</w:t>
      </w:r>
    </w:p>
    <w:p>
      <w:r>
        <w:t>f) Järnvägsstyrelsen;</w:t>
      </w:r>
    </w:p>
    <w:p>
      <w:r>
        <w:t>K:</w:t>
      </w:r>
    </w:p>
    <w:p>
      <w:r>
        <w:t>a) Kammarkollegiet;</w:t>
      </w:r>
    </w:p>
    <w:p>
      <w:r>
        <w:t>b) Kammarrätterna;</w:t>
      </w:r>
    </w:p>
    <w:p>
      <w:r>
        <w:t>c) Karlstads universitet;</w:t>
      </w:r>
    </w:p>
    <w:p>
      <w:r>
        <w:t>d) Karolinska Institutet;</w:t>
      </w:r>
    </w:p>
    <w:p>
      <w:r>
        <w:t>e) Kemikalieinspektionen;</w:t>
      </w:r>
    </w:p>
    <w:p>
      <w:r>
        <w:t>f) Kommerskollegium;</w:t>
      </w:r>
    </w:p>
    <w:p>
      <w:r>
        <w:t>g) Konjunkturinstitutet;</w:t>
      </w:r>
    </w:p>
    <w:p>
      <w:r>
        <w:t>h) Konkurrensverket;</w:t>
      </w:r>
    </w:p>
    <w:p>
      <w:r>
        <w:t>i) Konstfack;</w:t>
      </w:r>
    </w:p>
    <w:p>
      <w:r>
        <w:t>j) Konsthögskolan;</w:t>
      </w:r>
    </w:p>
    <w:p>
      <w:r>
        <w:t>k) Konstnärsnämnden;</w:t>
      </w:r>
    </w:p>
    <w:p>
      <w:r>
        <w:t>l) Konstråd,statens;</w:t>
      </w:r>
    </w:p>
    <w:p>
      <w:r>
        <w:t>(m)Konsulat;</w:t>
      </w:r>
    </w:p>
    <w:p>
      <w:r>
        <w:t>n) Konsumentverket;</w:t>
      </w:r>
    </w:p>
    <w:p>
      <w:r>
        <w:t>o) Krigsvetenskapsakademin;</w:t>
      </w:r>
    </w:p>
    <w:p>
      <w:r>
        <w:t>p) Krigsförsäkringsnämnden;</w:t>
      </w:r>
    </w:p>
    <w:p>
      <w:r>
        <w:t>q) Kriminaltekniska laboratorium, statens;</w:t>
      </w:r>
    </w:p>
    <w:p>
      <w:r>
        <w:t>r) Kriminalvården;</w:t>
      </w:r>
    </w:p>
    <w:p>
      <w:r>
        <w:t>s) Krisberedskapsmyndigheten;</w:t>
      </w:r>
    </w:p>
    <w:p>
      <w:r>
        <w:t>t) Kristinaskolan;</w:t>
      </w:r>
    </w:p>
    <w:p>
      <w:r>
        <w:t>u) Kronofogdemyndigheten;</w:t>
      </w:r>
    </w:p>
    <w:p>
      <w:r>
        <w:t>v) Kulturråd, statens;</w:t>
      </w:r>
    </w:p>
    <w:p>
      <w:r>
        <w:t>(w)Kungl. Biblioteket;</w:t>
      </w:r>
    </w:p>
    <w:p>
      <w:r>
        <w:t>x) Kungl. Konsthögskolan;</w:t>
      </w:r>
    </w:p>
    <w:p>
      <w:r>
        <w:t>y) Kungl. Musikhögskolan i Stockholm;</w:t>
      </w:r>
    </w:p>
    <w:p>
      <w:r>
        <w:t>z) Kungl. Tekniska högskolan;</w:t>
      </w:r>
    </w:p>
    <w:p>
      <w:r>
        <w:t>(aa)Kungl. Vitterhets-, historie- och antikvitetsakademien;</w:t>
      </w:r>
    </w:p>
    <w:p>
      <w:r>
        <w:t>(bb)Kungl Vetenskapsakademin;</w:t>
      </w:r>
    </w:p>
    <w:p>
      <w:r>
        <w:t>(cc)Kustbevakningen;</w:t>
      </w:r>
    </w:p>
    <w:p>
      <w:r>
        <w:t>(dd)Kvalitets- och kompetensråd, statens;</w:t>
      </w:r>
    </w:p>
    <w:p>
      <w:r>
        <w:t>(ee)Kärnavfallsfondens styrelse;</w:t>
      </w:r>
    </w:p>
    <w:p>
      <w:r>
        <w:t>L:</w:t>
      </w:r>
    </w:p>
    <w:p>
      <w:r>
        <w:t>a) Lagrådet;</w:t>
      </w:r>
    </w:p>
    <w:p>
      <w:r>
        <w:t>b) Lantbruksuniversitet, Sveriges;</w:t>
      </w:r>
    </w:p>
    <w:p>
      <w:r>
        <w:t>c) Lantmäteriverket;</w:t>
      </w:r>
    </w:p>
    <w:p>
      <w:r>
        <w:t>d) Linköpings universitet;</w:t>
      </w:r>
    </w:p>
    <w:p>
      <w:r>
        <w:t>e) Livrustkammaren, Skoklosters slott och Hallwylska museet;</w:t>
      </w:r>
    </w:p>
    <w:p>
      <w:r>
        <w:t>f) Livsmedelsverk, statens;</w:t>
      </w:r>
    </w:p>
    <w:p>
      <w:r>
        <w:t>g) Livsmedelsekonomiska institutet;</w:t>
      </w:r>
    </w:p>
    <w:p>
      <w:r>
        <w:t>h) Ljud- och bildarkiv, statens;</w:t>
      </w:r>
    </w:p>
    <w:p>
      <w:r>
        <w:t>i) Lokala säkerhetsnämnderna vid kärnkraftverk;</w:t>
      </w:r>
    </w:p>
    <w:p>
      <w:r>
        <w:t>j) Lotteriinspektionen;</w:t>
      </w:r>
    </w:p>
    <w:p>
      <w:r>
        <w:t>k) Luftfartsverket;</w:t>
      </w:r>
    </w:p>
    <w:p>
      <w:r>
        <w:t>l) Luftfartsstyrelsen;</w:t>
      </w:r>
    </w:p>
    <w:p>
      <w:r>
        <w:t>(m)Luleå tekniska universitet;</w:t>
      </w:r>
    </w:p>
    <w:p>
      <w:r>
        <w:t>n) Lunds universitet;</w:t>
      </w:r>
    </w:p>
    <w:p>
      <w:r>
        <w:t>o) Läkemedelsverket;</w:t>
      </w:r>
    </w:p>
    <w:p>
      <w:r>
        <w:t>p) Läkemedelsförmånsnämnden;</w:t>
      </w:r>
    </w:p>
    <w:p>
      <w:r>
        <w:t>q) Länsrätterna;</w:t>
      </w:r>
    </w:p>
    <w:p>
      <w:r>
        <w:t>r) Länsstyrelserna;</w:t>
      </w:r>
    </w:p>
    <w:p>
      <w:r>
        <w:t>s) Lärarhögskolan i Stockholm;</w:t>
      </w:r>
    </w:p>
    <w:p>
      <w:r>
        <w:t>M:</w:t>
      </w:r>
    </w:p>
    <w:p>
      <w:r>
        <w:t>a) Malmö högskola;</w:t>
      </w:r>
    </w:p>
    <w:p>
      <w:r>
        <w:t>b) Manillaskolan;</w:t>
      </w:r>
    </w:p>
    <w:p>
      <w:r>
        <w:t>c) Maritima muséer, statens;</w:t>
      </w:r>
    </w:p>
    <w:p>
      <w:r>
        <w:t>d) Marknadsdomstolen;</w:t>
      </w:r>
    </w:p>
    <w:p>
      <w:r>
        <w:t>e) Medlingsinstitutet;</w:t>
      </w:r>
    </w:p>
    <w:p>
      <w:r>
        <w:t>f) Meteorologiska och hydrologiska institut, Sveriges;</w:t>
      </w:r>
    </w:p>
    <w:p>
      <w:r>
        <w:t>g) Migrationsverket;</w:t>
      </w:r>
    </w:p>
    <w:p>
      <w:r>
        <w:t>h) Militärhögskolor;</w:t>
      </w:r>
    </w:p>
    <w:p>
      <w:r>
        <w:t>i) Mittuniversitetet;</w:t>
      </w:r>
    </w:p>
    <w:p>
      <w:r>
        <w:t>j) Moderna museet;</w:t>
      </w:r>
    </w:p>
    <w:p>
      <w:r>
        <w:t>k) Museer för världskultur, statens;</w:t>
      </w:r>
    </w:p>
    <w:p>
      <w:r>
        <w:t>l) Musikaliska Akademien;</w:t>
      </w:r>
    </w:p>
    <w:p>
      <w:r>
        <w:t>(m)Musiksamlingar, statens;</w:t>
      </w:r>
    </w:p>
    <w:p>
      <w:r>
        <w:t>n) Myndigheten för handikappolitisk samordning;</w:t>
      </w:r>
    </w:p>
    <w:p>
      <w:r>
        <w:t>o) Myndigheten för internationella adoptionsfrågor;</w:t>
      </w:r>
    </w:p>
    <w:p>
      <w:r>
        <w:t>p) Myndigheten för skolutveckling;</w:t>
      </w:r>
    </w:p>
    <w:p>
      <w:r>
        <w:t>q) Myndigheten för kvalificerad yrkesutbildning;</w:t>
      </w:r>
    </w:p>
    <w:p>
      <w:r>
        <w:t>r) Myndigheten för nätverk och samarbete inom högre utbildning;</w:t>
      </w:r>
    </w:p>
    <w:p>
      <w:r>
        <w:t>s) Myndigheten för Sveriges nätuniversitet;</w:t>
      </w:r>
    </w:p>
    <w:p>
      <w:r>
        <w:t>t) Myndigheten för utländska investeringar i Sverige;</w:t>
      </w:r>
    </w:p>
    <w:p>
      <w:r>
        <w:t>u) Mälardalens högskola;</w:t>
      </w:r>
    </w:p>
    <w:p>
      <w:r>
        <w:t>N:</w:t>
      </w:r>
    </w:p>
    <w:p>
      <w:r>
        <w:t>a) Nationalmuseum;</w:t>
      </w:r>
    </w:p>
    <w:p>
      <w:r>
        <w:t>b) Nationellt centrum för flexibelt lärande;</w:t>
      </w:r>
    </w:p>
    <w:p>
      <w:r>
        <w:t>c) Naturhistoriska riksmuseet;</w:t>
      </w:r>
    </w:p>
    <w:p>
      <w:r>
        <w:t>d) Naturvårdsverket;</w:t>
      </w:r>
    </w:p>
    <w:p>
      <w:r>
        <w:t>e) Nordiska Afrikainstitutet;</w:t>
      </w:r>
    </w:p>
    <w:p>
      <w:r>
        <w:t>f) Notarienämnden;</w:t>
      </w:r>
    </w:p>
    <w:p>
      <w:r>
        <w:t>g) Nämnd för arbetstagares uppfinningar, statens;</w:t>
      </w:r>
    </w:p>
    <w:p>
      <w:r>
        <w:t>h) Nämnden för statligt stöd till trossamfund;</w:t>
      </w:r>
    </w:p>
    <w:p>
      <w:r>
        <w:t>i) Nämnden för styrelserepresentationsfrågor;</w:t>
      </w:r>
    </w:p>
    <w:p>
      <w:r>
        <w:t>j) Nämnden mot diskriminering;</w:t>
      </w:r>
    </w:p>
    <w:p>
      <w:r>
        <w:t>k) Nämnden för elektronisk förvaltning;</w:t>
      </w:r>
    </w:p>
    <w:p>
      <w:r>
        <w:t>l) Nämnden för RH anpassad utbildning;</w:t>
      </w:r>
    </w:p>
    <w:p>
      <w:r>
        <w:t>(m)Nämnden för hemslöjdsfrågor;</w:t>
      </w:r>
    </w:p>
    <w:p>
      <w:r>
        <w:t>O:</w:t>
      </w:r>
    </w:p>
    <w:p>
      <w:r>
        <w:t>a) Oljekrisnämnden;</w:t>
      </w:r>
    </w:p>
    <w:p>
      <w:r>
        <w:t>b) Ombudsmannen mot diskriminering på grund av sexuell läggning;</w:t>
      </w:r>
    </w:p>
    <w:p>
      <w:r>
        <w:t>c) Ombudsmannen mot etnisk diskriminering;</w:t>
      </w:r>
    </w:p>
    <w:p>
      <w:r>
        <w:t>d) Operahögskolan i Stockholm;</w:t>
      </w:r>
    </w:p>
    <w:p>
      <w:r>
        <w:t>P:</w:t>
      </w:r>
    </w:p>
    <w:p>
      <w:r>
        <w:t>a) Patent- och registreringsverket;</w:t>
      </w:r>
    </w:p>
    <w:p>
      <w:r>
        <w:t>b) Patentbesvärsrätten;</w:t>
      </w:r>
    </w:p>
    <w:p>
      <w:r>
        <w:t>c) Pensionsverk, statens;</w:t>
      </w:r>
    </w:p>
    <w:p>
      <w:r>
        <w:t>d) Personregisternämnd statens, SPAR-nämnden;</w:t>
      </w:r>
    </w:p>
    <w:p>
      <w:r>
        <w:t>e) Pliktverk, Totalförsvarets;</w:t>
      </w:r>
    </w:p>
    <w:p>
      <w:r>
        <w:t>f) Polarforskningssekretariatet;</w:t>
      </w:r>
    </w:p>
    <w:p>
      <w:r>
        <w:t>g) Post- och telestyrelsen;</w:t>
      </w:r>
    </w:p>
    <w:p>
      <w:r>
        <w:t>h) Premiepensionsmyndigheten;</w:t>
      </w:r>
    </w:p>
    <w:p>
      <w:r>
        <w:t>i) Presstödsnämnden;</w:t>
      </w:r>
    </w:p>
    <w:p>
      <w:r>
        <w:t>R:</w:t>
      </w:r>
    </w:p>
    <w:p>
      <w:r>
        <w:t>a) Radio- och TV–verket;</w:t>
      </w:r>
    </w:p>
    <w:p>
      <w:r>
        <w:t>b) Rederinämnden;</w:t>
      </w:r>
    </w:p>
    <w:p>
      <w:r>
        <w:t>c) Regeringskansliet;</w:t>
      </w:r>
    </w:p>
    <w:p>
      <w:r>
        <w:t>d) Regeringsrätten;</w:t>
      </w:r>
    </w:p>
    <w:p>
      <w:r>
        <w:t>e) Resegarantinämnden;</w:t>
      </w:r>
    </w:p>
    <w:p>
      <w:r>
        <w:t>f) Registernämnden;</w:t>
      </w:r>
    </w:p>
    <w:p>
      <w:r>
        <w:t>g) Revisorsnämnden;</w:t>
      </w:r>
    </w:p>
    <w:p>
      <w:r>
        <w:t>h) Riksantikvarieämbetet;</w:t>
      </w:r>
    </w:p>
    <w:p>
      <w:r>
        <w:t>i) Riksarkivet;</w:t>
      </w:r>
    </w:p>
    <w:p>
      <w:r>
        <w:t>j) Riksbanken;</w:t>
      </w:r>
    </w:p>
    <w:p>
      <w:r>
        <w:t>k) Riksdagsförvaltningen;</w:t>
      </w:r>
    </w:p>
    <w:p>
      <w:r>
        <w:t>l) Riksdagens ombudsmän;</w:t>
      </w:r>
    </w:p>
    <w:p>
      <w:r>
        <w:t>(m)Riksdagens revisorer;</w:t>
      </w:r>
    </w:p>
    <w:p>
      <w:r>
        <w:t>n) Riksgäldskontoret;</w:t>
      </w:r>
    </w:p>
    <w:p>
      <w:r>
        <w:t>o) Rikshemvärnsrådet;</w:t>
      </w:r>
    </w:p>
    <w:p>
      <w:r>
        <w:t>p) Rikspolisstyrelsen;</w:t>
      </w:r>
    </w:p>
    <w:p>
      <w:r>
        <w:t>q) Riksrevisionen;</w:t>
      </w:r>
    </w:p>
    <w:p>
      <w:r>
        <w:t>r) Rikstrafiken;</w:t>
      </w:r>
    </w:p>
    <w:p>
      <w:r>
        <w:t>s) Riksutställningar, Stiftelsen;</w:t>
      </w:r>
    </w:p>
    <w:p>
      <w:r>
        <w:t>t) Riksvärderingsnämnden;</w:t>
      </w:r>
    </w:p>
    <w:p>
      <w:r>
        <w:t>u) Rymdstyrelsen;</w:t>
      </w:r>
    </w:p>
    <w:p>
      <w:r>
        <w:t>v) Rådet för Europeiska socialfonden i Sverige;</w:t>
      </w:r>
    </w:p>
    <w:p>
      <w:r>
        <w:t>(w)Räddningsverk, statens;</w:t>
      </w:r>
    </w:p>
    <w:p>
      <w:r>
        <w:t>x) Rättshjälpsmyndigheten;</w:t>
      </w:r>
    </w:p>
    <w:p>
      <w:r>
        <w:t>y) Rättshjälpsnämnden;</w:t>
      </w:r>
    </w:p>
    <w:p>
      <w:r>
        <w:t>z) Rättsmedicinalverket;</w:t>
      </w:r>
    </w:p>
    <w:p>
      <w:r>
        <w:t>S:</w:t>
      </w:r>
    </w:p>
    <w:p>
      <w:r>
        <w:t>a) Samarbetsnämnden för statsbidrag till trossamfund;</w:t>
      </w:r>
    </w:p>
    <w:p>
      <w:r>
        <w:t>b) Sameskolstyrelsen och sameskolor;</w:t>
      </w:r>
    </w:p>
    <w:p>
      <w:r>
        <w:t>c) Sametinget;</w:t>
      </w:r>
    </w:p>
    <w:p>
      <w:r>
        <w:t>d) SIS, Standardiseringen i Sverige;</w:t>
      </w:r>
    </w:p>
    <w:p>
      <w:r>
        <w:t>e) Sjöfartsverket;</w:t>
      </w:r>
    </w:p>
    <w:p>
      <w:r>
        <w:t>f) Skatterättsnämnden;</w:t>
      </w:r>
    </w:p>
    <w:p>
      <w:r>
        <w:t>g) Skatteverket;</w:t>
      </w:r>
    </w:p>
    <w:p>
      <w:r>
        <w:t>h) Skaderegleringsnämnd, statens;</w:t>
      </w:r>
    </w:p>
    <w:p>
      <w:r>
        <w:t>i) Skiljenämnden i vissa trygghetsfrågor;</w:t>
      </w:r>
    </w:p>
    <w:p>
      <w:r>
        <w:t>j) Skogsstyrelsen;</w:t>
      </w:r>
    </w:p>
    <w:p>
      <w:r>
        <w:t>k) Skogsvårdsstyrelserna;</w:t>
      </w:r>
    </w:p>
    <w:p>
      <w:r>
        <w:t>l) Skogs och lantbruksakademien;</w:t>
      </w:r>
    </w:p>
    <w:p>
      <w:r>
        <w:t>(m)Skolverk, statens;</w:t>
      </w:r>
    </w:p>
    <w:p>
      <w:r>
        <w:t>n) Skolväsendets överklagandenämnd;</w:t>
      </w:r>
    </w:p>
    <w:p>
      <w:r>
        <w:t>o) Smittskyddsinstitutet;</w:t>
      </w:r>
    </w:p>
    <w:p>
      <w:r>
        <w:t>p) Socialstyrelsen;</w:t>
      </w:r>
    </w:p>
    <w:p>
      <w:r>
        <w:t>q) Specialpedagogiska institutet;</w:t>
      </w:r>
    </w:p>
    <w:p>
      <w:r>
        <w:t>r) Specialskolemyndigheten;</w:t>
      </w:r>
    </w:p>
    <w:p>
      <w:r>
        <w:t>s) Språk- och folkminnesinstitutet;</w:t>
      </w:r>
    </w:p>
    <w:p>
      <w:r>
        <w:t>t) Sprängämnesinspektionen;</w:t>
      </w:r>
    </w:p>
    <w:p>
      <w:r>
        <w:t>u) Statistiska centralbyrån;</w:t>
      </w:r>
    </w:p>
    <w:p>
      <w:r>
        <w:t>v) Statskontoret;</w:t>
      </w:r>
    </w:p>
    <w:p>
      <w:r>
        <w:t>(w)Stockholms universitet;</w:t>
      </w:r>
    </w:p>
    <w:p>
      <w:r>
        <w:t>x) Stockholms internationella miljöinstitut;</w:t>
      </w:r>
    </w:p>
    <w:p>
      <w:r>
        <w:t>y) Strålsäkerhetsmyndigheten;</w:t>
      </w:r>
    </w:p>
    <w:p>
      <w:r>
        <w:t>z) Styrelsen för ackreditering och teknisk kontroll;</w:t>
      </w:r>
    </w:p>
    <w:p>
      <w:r>
        <w:t>(aa)Styrelsen för internationellt utvecklingssamarbete, SIDA;</w:t>
      </w:r>
    </w:p>
    <w:p>
      <w:r>
        <w:t>(bb)Styrelsen för Samefonden;</w:t>
      </w:r>
    </w:p>
    <w:p>
      <w:r>
        <w:t>(cc)Styrelsen för psykologiskt försvar;</w:t>
      </w:r>
    </w:p>
    <w:p>
      <w:r>
        <w:t>(dd)Stängselnämnden;</w:t>
      </w:r>
    </w:p>
    <w:p>
      <w:r>
        <w:t>(ee)Svenska institutet;</w:t>
      </w:r>
    </w:p>
    <w:p>
      <w:r>
        <w:t>(ff)Svenska institutet för europapolitiska studier;</w:t>
      </w:r>
    </w:p>
    <w:p>
      <w:r>
        <w:t>(gg)Svenska ESF rådet;</w:t>
      </w:r>
    </w:p>
    <w:p>
      <w:r>
        <w:t>(hh)Svenska Unescorådet;</w:t>
      </w:r>
    </w:p>
    <w:p>
      <w:r>
        <w:t>ii) Svenska FAO kommittén;</w:t>
      </w:r>
    </w:p>
    <w:p>
      <w:r>
        <w:t>(jj) Svenska Språknämnden;</w:t>
      </w:r>
    </w:p>
    <w:p>
      <w:r>
        <w:t>(kk)Svenska Skeppshypotekskassan;</w:t>
      </w:r>
    </w:p>
    <w:p>
      <w:r>
        <w:t>(ll) Svenska institutet i Alexandria;</w:t>
      </w:r>
    </w:p>
    <w:p>
      <w:r>
        <w:t>(mm)Sveriges författarfond;</w:t>
      </w:r>
    </w:p>
    <w:p>
      <w:r>
        <w:t>(nn)Säkerhetspolisen;</w:t>
      </w:r>
    </w:p>
    <w:p>
      <w:r>
        <w:t>(oo)Säkerhets- och integritetsskyddsnämnden;</w:t>
      </w:r>
    </w:p>
    <w:p>
      <w:r>
        <w:t>(pp)Södertörns högskola;</w:t>
      </w:r>
    </w:p>
    <w:p>
      <w:r>
        <w:t>T:</w:t>
      </w:r>
    </w:p>
    <w:p>
      <w:r>
        <w:t>a) Taltidningsnämnden;</w:t>
      </w:r>
    </w:p>
    <w:p>
      <w:r>
        <w:t>b) Talboks- och punktskriftsbiblioteket;</w:t>
      </w:r>
    </w:p>
    <w:p>
      <w:r>
        <w:t>c) Teaterhögskolan i Stockholm;</w:t>
      </w:r>
    </w:p>
    <w:p>
      <w:r>
        <w:t>d) Tingsrätterna;</w:t>
      </w:r>
    </w:p>
    <w:p>
      <w:r>
        <w:t>e) Tjänstepensions och grupplivnämnd, statens;</w:t>
      </w:r>
    </w:p>
    <w:p>
      <w:r>
        <w:t>f) Tjänsteförslagsnämnden för domstolsväsendet;</w:t>
      </w:r>
    </w:p>
    <w:p>
      <w:r>
        <w:t>g) Totalförsvarets forskningsinstitut;</w:t>
      </w:r>
    </w:p>
    <w:p>
      <w:r>
        <w:t>h) Totalförsvarets pliktverk;</w:t>
      </w:r>
    </w:p>
    <w:p>
      <w:r>
        <w:t>i) Tullverket;</w:t>
      </w:r>
    </w:p>
    <w:p>
      <w:r>
        <w:t>j) Turistdelegationen;</w:t>
      </w:r>
    </w:p>
    <w:p>
      <w:r>
        <w:t>U:</w:t>
      </w:r>
    </w:p>
    <w:p>
      <w:r>
        <w:t>a) Umeå universitet;</w:t>
      </w:r>
    </w:p>
    <w:p>
      <w:r>
        <w:t>b) Ungdomsstyrelsen;</w:t>
      </w:r>
    </w:p>
    <w:p>
      <w:r>
        <w:t>c) Uppsala universitet;</w:t>
      </w:r>
    </w:p>
    <w:p>
      <w:r>
        <w:t>d) Utlandslönenämnd, statens;</w:t>
      </w:r>
    </w:p>
    <w:p>
      <w:r>
        <w:t>e) Utlänningsnämnden;</w:t>
      </w:r>
    </w:p>
    <w:p>
      <w:r>
        <w:t>f) Utrikesförvaltningens antagningsnämnd;</w:t>
      </w:r>
    </w:p>
    <w:p>
      <w:r>
        <w:t>g) Utrikesnämnden;</w:t>
      </w:r>
    </w:p>
    <w:p>
      <w:r>
        <w:t>h) Utsädeskontroll, statens;</w:t>
      </w:r>
    </w:p>
    <w:p>
      <w:r>
        <w:t>V:</w:t>
      </w:r>
    </w:p>
    <w:p>
      <w:r>
        <w:t>a) Valideringsdelegationen;</w:t>
      </w:r>
    </w:p>
    <w:p>
      <w:r>
        <w:t>b) Valmyndigheten;</w:t>
      </w:r>
    </w:p>
    <w:p>
      <w:r>
        <w:t>c) Vatten- och avloppsnämnd, statens;</w:t>
      </w:r>
    </w:p>
    <w:p>
      <w:r>
        <w:t>d) Vattenöverdomstolen;</w:t>
      </w:r>
    </w:p>
    <w:p>
      <w:r>
        <w:t>e) Verket för förvaltningsutveckling;</w:t>
      </w:r>
    </w:p>
    <w:p>
      <w:r>
        <w:t>f) Verket för högskoleservice;</w:t>
      </w:r>
    </w:p>
    <w:p>
      <w:r>
        <w:t>g) Verket för innovationssystem (VINNOVA);</w:t>
      </w:r>
    </w:p>
    <w:p>
      <w:r>
        <w:t>h) Verket för näringslivsutveckling (NUTEK);</w:t>
      </w:r>
    </w:p>
    <w:p>
      <w:r>
        <w:t>i) Vetenskapsrådet;</w:t>
      </w:r>
    </w:p>
    <w:p>
      <w:r>
        <w:t>j) Veterinärmedicinska anstalt, statens;</w:t>
      </w:r>
    </w:p>
    <w:p>
      <w:r>
        <w:t>k) Veterinära ansvarsnämnden;</w:t>
      </w:r>
    </w:p>
    <w:p>
      <w:r>
        <w:t>l) Väg- och transportforskningsinstitut, statens;</w:t>
      </w:r>
    </w:p>
    <w:p>
      <w:r>
        <w:t>(m)Vägverket;</w:t>
      </w:r>
    </w:p>
    <w:p>
      <w:r>
        <w:t>n) Vänerskolan;</w:t>
      </w:r>
    </w:p>
    <w:p>
      <w:r>
        <w:t>o) Växjö universitet;</w:t>
      </w:r>
    </w:p>
    <w:p>
      <w:r>
        <w:t>p) Växtsortnämnd, statens;</w:t>
      </w:r>
    </w:p>
    <w:p>
      <w:r>
        <w:t>Å:</w:t>
      </w:r>
    </w:p>
    <w:p>
      <w:r>
        <w:t>a) Åklagarmyndigheten;</w:t>
      </w:r>
    </w:p>
    <w:p>
      <w:r>
        <w:t>b) Åsbackaskolan;</w:t>
      </w:r>
    </w:p>
    <w:p>
      <w:r>
        <w:t>Ö:</w:t>
      </w:r>
    </w:p>
    <w:p>
      <w:r>
        <w:t>a) Örebro universitet;</w:t>
      </w:r>
    </w:p>
    <w:p>
      <w:r>
        <w:t>b) Örlogsmannasällskapet;</w:t>
      </w:r>
    </w:p>
    <w:p>
      <w:r>
        <w:t>c) Östervångsskolan;</w:t>
      </w:r>
    </w:p>
    <w:p>
      <w:r>
        <w:t>d) Överbefälhavaren;</w:t>
      </w:r>
    </w:p>
    <w:p>
      <w:r>
        <w:t>e) Överklagandenämnden för högskolan;</w:t>
      </w:r>
    </w:p>
    <w:p>
      <w:r>
        <w:t>f) Överklagandenämnden för nämndemanna-uppdrag;</w:t>
      </w:r>
    </w:p>
    <w:p>
      <w:r>
        <w:t>g) Överklagandenämnden för studiestöd;</w:t>
      </w:r>
    </w:p>
    <w:p>
      <w:r>
        <w:t>h) Överklagandenämnden för totalförsvaret.</w:t>
      </w:r>
    </w:p>
    <w:p>
      <w:pPr>
        <w:pStyle w:val="Heading1"/>
      </w:pPr>
      <w:r>
        <w:t>ZAŁĄCZNIK II</w:t>
      </w:r>
    </w:p>
    <w:p>
      <w:pPr>
        <w:pStyle w:val="Heading3"/>
        <w:jc w:val="center"/>
      </w:pPr>
      <w:r>
        <w:t>Wykaz konwencji międzynarodowych w dziedzinie prawa ochrony środowiska, prawa socjalnego i prawa pracy, o których mowa w art. 4 ust. 4, art. 50 ust. 4 i art. 55 ust. 4</w:t>
      </w:r>
    </w:p>
    <w:p>
      <w:r>
        <w:t>1. Konwencja nr 87 Międzynarodowej Organizacji Pracy (MOP) dotycząca wolności związkowej i ochrony praw związkowych;</w:t>
      </w:r>
    </w:p>
    <w:p>
      <w:r>
        <w:t>2. Konwencja MOP nr 98 dotycząca stosowania zasad prawa organizowania się i rokowań zbiorowych;</w:t>
      </w:r>
    </w:p>
    <w:p>
      <w:r>
        <w:t>3. Konwencja MOP nr 29 dotycząca pracy przymusowej;</w:t>
      </w:r>
    </w:p>
    <w:p>
      <w:r>
        <w:t>4. Konwencja MOP nr 105 dotycząca zniesienia pracy przymusowej;</w:t>
      </w:r>
    </w:p>
    <w:p>
      <w:r>
        <w:t>5. Konwencja MOP nr 138 dotycząca najniższego wieku dopuszczenia do zatrudnienia;</w:t>
      </w:r>
    </w:p>
    <w:p>
      <w:r>
        <w:t>6. Konwencja MOP nr 111 dotycząca dyskryminacji w zakresie zatrudnienia i wykonywania zawodu;</w:t>
      </w:r>
    </w:p>
    <w:p>
      <w:r>
        <w:t>7. Konwencja MOP nr 100 dotycząca jednakowego wynagrodzenia;</w:t>
      </w:r>
    </w:p>
    <w:p>
      <w:r>
        <w:t>8. Konwencja MOP nr 182 dotycząca zakazu i natychmiastowych działań na rzecz eliminowania najgorszych form pracy dzieci;</w:t>
      </w:r>
    </w:p>
    <w:p>
      <w:r>
        <w:t>9. Konwencja wiedeńska o ochronie warstwy ozonowej oraz Protokół montrealski w sprawie substancji zubożających warstwę ozonową;</w:t>
      </w:r>
    </w:p>
    <w:p>
      <w:r>
        <w:t>10. Konwencja bazylejska o kontroli transgranicznego przemieszczania i usuwania odpadów niebezpiecznych (konwencja bazylejska);</w:t>
      </w:r>
    </w:p>
    <w:p>
      <w:r>
        <w:t>11. Konwencja sztokholmska w sprawie trwałych zanieczyszczeń organicznych;</w:t>
      </w:r>
    </w:p>
    <w:p>
      <w:r>
        <w:t>12. Konwencja w sprawie procedury zgody po uprzednim poinformowaniu w międzynarodowym handlu niektórymi niebezpiecznymi substancjami chemicznymi i pestycydami (UNEP/FAO) (konwencja PIC), sporządzona w Rotterdamie dnia 10 września 1998 r., wraz z trzema protokołami regionalnymi.</w:t>
      </w:r>
    </w:p>
    <w:p>
      <w:pPr>
        <w:pStyle w:val="Heading1"/>
      </w:pPr>
      <w:r>
        <w:t>ZAŁĄCZNIK III</w:t>
      </w:r>
    </w:p>
    <w:p>
      <w:r>
        <w:t>Wykaz procedur i aktów prawnych Unii, o których mowa w art. 8 ust. 3 i art. 117 ust. 1</w:t>
      </w:r>
    </w:p>
    <w:p>
      <w:r>
        <w:t>Następujące procedury, które zapewniają odpowiednią uprzednią przejrzystość, mają zastosowanie do udzielania zezwoleń na podstawie innych aktów prawnych Unii, które nie stanowią „praw specjalnych lub wyłącznych” w rozumieniu art. 8 i 117 niniejszego rozporządzenia:</w:t>
      </w:r>
    </w:p>
    <w:p>
      <w:r>
        <w:t>a) udzielanie zezwoleń na eksploatację instalacji gazu ziemnego zgodnie z procedurami określonymi w art. 8 dyrektywy Parlamentu Europejskiego i Rady (UE) 2024/1788[1];</w:t>
      </w:r>
    </w:p>
    <w:p>
      <w:r>
        <w:t>b) zezwolenie lub zaproszenie do składania ofert na budowę nowych instalacji wytwarzania energii elektrycznej zgodnie z dyrektywą Parlamentu Europejskiego i Rady (UE) 2019/944[2];</w:t>
      </w:r>
    </w:p>
    <w:p>
      <w:r>
        <w:t>c) udzielanie zezwoleń w odniesieniu do usług pocztowych zgodnie z procedurami określonymi w art. 9 dyrektywy 97/67/WE;</w:t>
      </w:r>
    </w:p>
    <w:p>
      <w:r>
        <w:t>d) procedurę udzielania zezwolenia na prowadzenie działalności polegającej na wydobywaniu węglowodorów zgodnie z dyrektywą 94/22/WE Parlamentu Europejskiego i Rady[3];</w:t>
      </w:r>
    </w:p>
    <w:p>
      <w:r>
        <w:t>e) udzielenia zamówienia prowadzącego do zawarcia umowy o świadczenie usług publicznych w rozumieniu rozporządzenia (WE) nr 1370/2007 w zakresie autobusowego, tramwajowego, kolejowego lub metra, udzielonego na podstawie konkurencyjnej procedury przetargowej zgodnie z art. 5 ust. 3 tego rozporządzenia, pod warunkiem że okres obowiązywania umowy jest zgodny z art. 4 ust. 3 lub art. 4 ust. 4 tego rozporządzenia[4].</w:t>
      </w:r>
    </w:p>
    <w:p>
      <w:r>
        <w:rPr>
          <w:sz w:val="16"/>
        </w:rPr>
        <w:t>1 Dyrektywa Parlamentu Europejskiego i Rady (UE) 2024/1788 z dnia 13 czerwca 2024 r. w sprawie wspólnych zasad rynków wewnętrznych gazu odnawialnego, gazu ziemnego i wodoru, zmieniająca dyrektywę (UE) 2023/1791 i uchylająca dyrektywę 2009/73/WE (wersja przekształcona) (Dz.U. L, 2024/1788, 15.7.2024, ELI: http://data.europa.eu/eli/dir/2024/1788/oj).</w:t>
      </w:r>
    </w:p>
    <w:p>
      <w:r>
        <w:rPr>
          <w:sz w:val="16"/>
        </w:rPr>
        <w:t>2 Dyrektywa Parlamentu Europejskiego i Rady (UE) 2019/944 z dnia 5 czerwca 2019 r. w sprawie wspólnych zasad rynku wewnętrznego energii elektrycznej oraz zmieniająca dyrektywę 2012/27/UE (wersja przekształcona) (Dz.U. L 158 z 14.6.2019, s. 125, ELI: http://data.europa.eu/eli/dir/2019/944/oj).</w:t>
      </w:r>
    </w:p>
    <w:p>
      <w:r>
        <w:rPr>
          <w:sz w:val="16"/>
        </w:rPr>
        <w:t>3 Dyrektywa 94/22/WE Parlamentu Europejskiego i Rady z dnia 30 maja 1994 r. w sprawie warunków udzielania i korzystania z zezwoleń na poszukiwanie, badanie i produkcję węglowodorów (Dz.U. L 164 z 30.6.1994, s. 3, ELI: http://data.europa.eu/eli/dir/1994/22/oj).</w:t>
      </w:r>
    </w:p>
    <w:p>
      <w:r>
        <w:rPr>
          <w:sz w:val="16"/>
        </w:rPr>
        <w:t>4 Rozporządzenie (WE) nr 1370/2007 Parlamentu Europejskiego i Rady z dnia 23 października 2007 r. dotyczące usług publicznych w zakresie kolejowego i drogowego transportu pasażerskiego oraz uchylające rozporządzenia Rady (EWG) nr 1191/69 i (EWG) nr 1107/70 (Dz.U. L 315 z 3.12.2007, s. 1, ELI: http://data.europa.eu/eli/reg/2007/1370/oj).</w:t>
      </w:r>
    </w:p>
    <w:p>
      <w:pPr>
        <w:pStyle w:val="Heading1"/>
      </w:pPr>
      <w:r>
        <w:t>ZAŁĄCZNIK IV</w:t>
      </w:r>
    </w:p>
    <w:p>
      <w:pPr>
        <w:pStyle w:val="Heading3"/>
        <w:jc w:val="center"/>
      </w:pPr>
      <w:r>
        <w:t>Wykaz unijnych aktów prawnych, o których mowa w art. 19 ust. 4 i art. 117 ust. 2 (działalność bezpośrednio podlegająca konkurencji)</w:t>
      </w:r>
    </w:p>
    <w:p>
      <w:r>
        <w:t>a) Transport dystrybucji gazu lub ciepła – dyrektywa (UE) 2024/1788[5];</w:t>
      </w:r>
    </w:p>
    <w:p>
      <w:r>
        <w:t>b) Produkcja, przesył lub dystrybucja energii elektrycznej – dyrektywa (UE) 2019/944[6];</w:t>
      </w:r>
    </w:p>
    <w:p>
      <w:r>
        <w:t>c) Produkcja, transport lub dystrybucja wody pitnej – [Brak wejścia];</w:t>
      </w:r>
    </w:p>
    <w:p>
      <w:r>
        <w:t>d) Podmioty zamawiające w dziedzinie usług kolejowych:</w:t>
      </w:r>
    </w:p>
    <w:p>
      <w:r>
        <w:t>— Dyrektywa 2012/34/UE[7];</w:t>
      </w:r>
    </w:p>
    <w:p>
      <w:r>
        <w:t>— Rozporządzenie (WE) nr 1370/2007[8];</w:t>
      </w:r>
    </w:p>
    <w:p>
      <w:r>
        <w:t>e) Podmioty zamawiające w dziedzinie kolei miejskiej, tramwajów, trolejbusów lub autobusów silnikowych</w:t>
      </w:r>
    </w:p>
    <w:p>
      <w:r>
        <w:t>usługi – [Brak wpisu];</w:t>
      </w:r>
    </w:p>
    <w:p>
      <w:r>
        <w:t>f) Podmioty zamawiające w dziedzinie usług pocztowych – dyrektywa 97/67/WE[9];</w:t>
      </w:r>
    </w:p>
    <w:p>
      <w:r>
        <w:t>g) Wydobywanie ropy naftowej lub gazu ziemnego – dyrektywa 94/22/WE[10];</w:t>
      </w:r>
    </w:p>
    <w:p>
      <w:r>
        <w:t>h) Poszukiwanie i wydobycie węgla lub innych paliw stałych – [Brak wpisu];</w:t>
      </w:r>
    </w:p>
    <w:p>
      <w:r>
        <w:t>i) Podmioty zamawiające w dziedzinie portów morskich lub portów śródlądowych lub innych urządzeń końcowych —</w:t>
      </w:r>
    </w:p>
    <w:p>
      <w:r>
        <w:t>[Brak wpisu];</w:t>
      </w:r>
    </w:p>
    <w:p>
      <w:r>
        <w:t>j) Podmioty zamawiające w dziedzinie instalacji portów lotniczych – [Brak wpisu].</w:t>
      </w:r>
    </w:p>
    <w:p>
      <w:r>
        <w:rPr>
          <w:sz w:val="16"/>
        </w:rPr>
        <w:t>5 Dyrektywa Parlamentu Europejskiego i Rady (UE) 2024/1788 z dnia 13 czerwca 2024 r. w sprawie wspólnych zasad rynków wewnętrznych gazu odnawialnego, gazu ziemnego i wodoru, zmieniająca dyrektywę (UE) 2023/1791 i uchylająca dyrektywę 2009/73/WE (wersja przekształcona) (Dz.U. L, 2024/1788, 15.7.2024, ELI: http://data.europa.eu/eli/dir/2024/1788/oj).</w:t>
      </w:r>
    </w:p>
    <w:p>
      <w:r>
        <w:rPr>
          <w:sz w:val="16"/>
        </w:rPr>
        <w:t>6 Dyrektywa Parlamentu Europejskiego i Rady (UE) 2019/944 z dnia 5 czerwca 2019 r. w sprawie wspólnych zasad rynku wewnętrznego energii elektrycznej oraz zmieniająca dyrektywę 2012/27/UE (wersja przekształcona) (Dz.U. L 158 z 14.6.2019, s. 125, ELI: http://data.europa.eu/eli/dir/2019/944/oj).</w:t>
      </w:r>
    </w:p>
    <w:p>
      <w:r>
        <w:rPr>
          <w:sz w:val="16"/>
        </w:rPr>
        <w:t>7 Dyrektywa Parlamentu Europejskiego i Rady 2012/34/UE z dnia 21 listopada 2012 r. w sprawie utworzenia jednolitego europejskiego obszaru kolejowego (przekształcenie) (Dz.U. L 343 z 14.12.2012, s. 32, ELI: http://data.europa.eu/eli/dir/2012/34/oj).</w:t>
      </w:r>
    </w:p>
    <w:p>
      <w:r>
        <w:rPr>
          <w:sz w:val="16"/>
        </w:rPr>
        <w:t>8 Rozporządzenie (WE) nr 1370/2007 Parlamentu Europejskiego i Rady z dnia 23 października 2007 r. dotyczące usług publicznych w zakresie kolejowego i drogowego transportu pasażerskiego oraz uchylające rozporządzenia Rady (EWG) nr 1191/69 i (EWG) nr 1107/70 (Dz.U. L 315 z 3.12.2007, s. 1, ELI: http://data.europa.eu/eli/reg/2007/1370/oj).</w:t>
      </w:r>
    </w:p>
    <w:p>
      <w:r>
        <w:rPr>
          <w:sz w:val="16"/>
        </w:rPr>
        <w:t>9 Dyrektywa 97/67/WE Parlamentu Europejskiego i Rady z dnia 15 grudnia 1997 r. w sprawie wspólnych zasad rozwoju rynku wewnętrznego usług pocztowych Wspólnoty oraz poprawy jakości usług (Dz.U. L 15 z 21.1.1998, s. 14, ELI: http://data.europa.eu/eli/dir/1997/67/oj).</w:t>
      </w:r>
    </w:p>
    <w:p>
      <w:r>
        <w:rPr>
          <w:sz w:val="16"/>
        </w:rPr>
        <w:t>10 Dyrektywa 94/22/WE Parlamentu Europejskiego i Rady z dnia 30 maja 1994 r. w sprawie warunków udzielania i korzystania z zezwoleń na poszukiwanie, badanie i produkcję węglowodorów (Dz.U. L 164 z 30.6.1994, s. 3, ELI: http://data.europa.eu/eli/dir/1994/22/oj).</w:t>
      </w:r>
    </w:p>
    <w:p>
      <w:pPr>
        <w:pStyle w:val="Heading1"/>
      </w:pPr>
      <w:r>
        <w:t>ZAŁĄCZNIK V</w:t>
      </w:r>
    </w:p>
    <w:p>
      <w:pPr>
        <w:pStyle w:val="Heading3"/>
        <w:jc w:val="center"/>
      </w:pPr>
      <w:r>
        <w:t>Wykaz rodzajów działalności, o których mowa w art. 6 pkt 22 lit. 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Podział</w:t>
            </w:r>
          </w:p>
        </w:tc>
        <w:tc>
          <w:tcPr>
            <w:tcW w:type="dxa" w:w="1728"/>
          </w:tcPr>
          <w:p>
            <w:r>
              <w:t>Grupa</w:t>
            </w:r>
          </w:p>
        </w:tc>
        <w:tc>
          <w:tcPr>
            <w:tcW w:type="dxa" w:w="1728"/>
          </w:tcPr>
          <w:p>
            <w:r>
              <w:t>Klasa</w:t>
            </w:r>
          </w:p>
        </w:tc>
        <w:tc>
          <w:tcPr>
            <w:tcW w:type="dxa" w:w="1728"/>
          </w:tcPr>
          <w:p>
            <w:r>
              <w:t>Kod CPV</w:t>
            </w:r>
          </w:p>
        </w:tc>
        <w:tc>
          <w:tcPr>
            <w:tcW w:type="dxa" w:w="1728"/>
          </w:tcPr>
          <w:p>
            <w:r>
              <w:t>Temat</w:t>
            </w:r>
          </w:p>
        </w:tc>
      </w:tr>
      <w:tr>
        <w:tc>
          <w:tcPr>
            <w:tcW w:type="dxa" w:w="1728"/>
          </w:tcPr>
          <w:p>
            <w:r>
              <w:t>45</w:t>
            </w:r>
          </w:p>
        </w:tc>
        <w:tc>
          <w:tcPr>
            <w:tcW w:type="dxa" w:w="1728"/>
          </w:tcPr>
          <w:p>
            <w:r/>
          </w:p>
        </w:tc>
        <w:tc>
          <w:tcPr>
            <w:tcW w:type="dxa" w:w="1728"/>
          </w:tcPr>
          <w:p>
            <w:r/>
          </w:p>
        </w:tc>
        <w:tc>
          <w:tcPr>
            <w:tcW w:type="dxa" w:w="1728"/>
          </w:tcPr>
          <w:p>
            <w:r>
              <w:t>45000000</w:t>
            </w:r>
          </w:p>
        </w:tc>
        <w:tc>
          <w:tcPr>
            <w:tcW w:type="dxa" w:w="1728"/>
          </w:tcPr>
          <w:p>
            <w:r>
              <w:t>Roboty budowlane</w:t>
            </w:r>
          </w:p>
        </w:tc>
      </w:tr>
      <w:tr>
        <w:tc>
          <w:tcPr>
            <w:tcW w:type="dxa" w:w="1728"/>
          </w:tcPr>
          <w:p>
            <w:r/>
          </w:p>
        </w:tc>
        <w:tc>
          <w:tcPr>
            <w:tcW w:type="dxa" w:w="1728"/>
          </w:tcPr>
          <w:p>
            <w:r>
              <w:t>45-1</w:t>
            </w:r>
          </w:p>
        </w:tc>
        <w:tc>
          <w:tcPr>
            <w:tcW w:type="dxa" w:w="1728"/>
          </w:tcPr>
          <w:p>
            <w:r/>
          </w:p>
        </w:tc>
        <w:tc>
          <w:tcPr>
            <w:tcW w:type="dxa" w:w="1728"/>
          </w:tcPr>
          <w:p>
            <w:r>
              <w:t>45100000</w:t>
            </w:r>
          </w:p>
        </w:tc>
        <w:tc>
          <w:tcPr>
            <w:tcW w:type="dxa" w:w="1728"/>
          </w:tcPr>
          <w:p>
            <w:r>
              <w:t>Przygotowanie terenu robót</w:t>
            </w:r>
          </w:p>
        </w:tc>
      </w:tr>
      <w:tr>
        <w:tc>
          <w:tcPr>
            <w:tcW w:type="dxa" w:w="1728"/>
          </w:tcPr>
          <w:p>
            <w:r/>
          </w:p>
        </w:tc>
        <w:tc>
          <w:tcPr>
            <w:tcW w:type="dxa" w:w="1728"/>
          </w:tcPr>
          <w:p>
            <w:r/>
          </w:p>
        </w:tc>
        <w:tc>
          <w:tcPr>
            <w:tcW w:type="dxa" w:w="1728"/>
          </w:tcPr>
          <w:p>
            <w:r>
              <w:t>45- 1-1</w:t>
            </w:r>
          </w:p>
        </w:tc>
        <w:tc>
          <w:tcPr>
            <w:tcW w:type="dxa" w:w="1728"/>
          </w:tcPr>
          <w:p>
            <w:r>
              <w:t>45110000</w:t>
            </w:r>
          </w:p>
        </w:tc>
        <w:tc>
          <w:tcPr>
            <w:tcW w:type="dxa" w:w="1728"/>
          </w:tcPr>
          <w:p>
            <w:r>
              <w:t>Roboty w zakresie burzenia i rozbiórki obiektów budowlanych; roboty ziemne</w:t>
            </w:r>
          </w:p>
        </w:tc>
      </w:tr>
      <w:tr>
        <w:tc>
          <w:tcPr>
            <w:tcW w:type="dxa" w:w="1728"/>
          </w:tcPr>
          <w:p>
            <w:r/>
          </w:p>
        </w:tc>
        <w:tc>
          <w:tcPr>
            <w:tcW w:type="dxa" w:w="1728"/>
          </w:tcPr>
          <w:p>
            <w:r/>
          </w:p>
        </w:tc>
        <w:tc>
          <w:tcPr>
            <w:tcW w:type="dxa" w:w="1728"/>
          </w:tcPr>
          <w:p>
            <w:r>
              <w:t>45- 1-2</w:t>
            </w:r>
          </w:p>
        </w:tc>
        <w:tc>
          <w:tcPr>
            <w:tcW w:type="dxa" w:w="1728"/>
          </w:tcPr>
          <w:p>
            <w:r>
              <w:t>45120000</w:t>
            </w:r>
          </w:p>
        </w:tc>
        <w:tc>
          <w:tcPr>
            <w:tcW w:type="dxa" w:w="1728"/>
          </w:tcPr>
          <w:p>
            <w:r>
              <w:t>Próbne wiercenia i wykopy</w:t>
            </w:r>
          </w:p>
        </w:tc>
      </w:tr>
      <w:tr>
        <w:tc>
          <w:tcPr>
            <w:tcW w:type="dxa" w:w="1728"/>
          </w:tcPr>
          <w:p>
            <w:r/>
          </w:p>
        </w:tc>
        <w:tc>
          <w:tcPr>
            <w:tcW w:type="dxa" w:w="1728"/>
          </w:tcPr>
          <w:p>
            <w:r>
              <w:t>45-2</w:t>
            </w:r>
          </w:p>
        </w:tc>
        <w:tc>
          <w:tcPr>
            <w:tcW w:type="dxa" w:w="1728"/>
          </w:tcPr>
          <w:p>
            <w:r/>
          </w:p>
        </w:tc>
        <w:tc>
          <w:tcPr>
            <w:tcW w:type="dxa" w:w="1728"/>
          </w:tcPr>
          <w:p>
            <w:r>
              <w:t>45200000</w:t>
            </w:r>
          </w:p>
        </w:tc>
        <w:tc>
          <w:tcPr>
            <w:tcW w:type="dxa" w:w="1728"/>
          </w:tcPr>
          <w:p>
            <w:r>
              <w:t>Roboty budowlane w zakresie wznoszenia kompletnych obiektów budowlanych lub ich części oraz roboty w zakresie inżynierii lądowej i wodnej</w:t>
            </w:r>
          </w:p>
        </w:tc>
      </w:tr>
      <w:tr>
        <w:tc>
          <w:tcPr>
            <w:tcW w:type="dxa" w:w="1728"/>
          </w:tcPr>
          <w:p>
            <w:r/>
          </w:p>
        </w:tc>
        <w:tc>
          <w:tcPr>
            <w:tcW w:type="dxa" w:w="1728"/>
          </w:tcPr>
          <w:p>
            <w:r/>
          </w:p>
        </w:tc>
        <w:tc>
          <w:tcPr>
            <w:tcW w:type="dxa" w:w="1728"/>
          </w:tcPr>
          <w:p>
            <w:r>
              <w:t>45- 2-1</w:t>
            </w:r>
          </w:p>
        </w:tc>
        <w:tc>
          <w:tcPr>
            <w:tcW w:type="dxa" w:w="1728"/>
          </w:tcPr>
          <w:p>
            <w:r>
              <w:t>452100 00 Except :45220 000</w:t>
            </w:r>
          </w:p>
        </w:tc>
        <w:tc>
          <w:tcPr>
            <w:tcW w:type="dxa" w:w="1728"/>
          </w:tcPr>
          <w:p>
            <w:r>
              <w:t>Roboty budowlane z wyjątkiem: Prace inżynieryjne i budowlane;</w:t>
            </w:r>
          </w:p>
        </w:tc>
      </w:tr>
      <w:tr>
        <w:tc>
          <w:tcPr>
            <w:tcW w:type="dxa" w:w="1728"/>
          </w:tcPr>
          <w:p>
            <w:r/>
          </w:p>
        </w:tc>
        <w:tc>
          <w:tcPr>
            <w:tcW w:type="dxa" w:w="1728"/>
          </w:tcPr>
          <w:p>
            <w:r/>
          </w:p>
        </w:tc>
        <w:tc>
          <w:tcPr>
            <w:tcW w:type="dxa" w:w="1728"/>
          </w:tcPr>
          <w:p>
            <w:r>
              <w:t>45- 2-6</w:t>
            </w:r>
          </w:p>
        </w:tc>
        <w:tc>
          <w:tcPr>
            <w:tcW w:type="dxa" w:w="1728"/>
          </w:tcPr>
          <w:p>
            <w:r>
              <w:t>45261000</w:t>
            </w:r>
          </w:p>
        </w:tc>
        <w:tc>
          <w:tcPr>
            <w:tcW w:type="dxa" w:w="1728"/>
          </w:tcPr>
          <w:p>
            <w:r>
              <w:t>Wykonywanie pokryć i konstrukcji dachowych oraz podobne roboty</w:t>
            </w:r>
          </w:p>
        </w:tc>
      </w:tr>
      <w:tr>
        <w:tc>
          <w:tcPr>
            <w:tcW w:type="dxa" w:w="1728"/>
          </w:tcPr>
          <w:p>
            <w:r/>
          </w:p>
        </w:tc>
        <w:tc>
          <w:tcPr>
            <w:tcW w:type="dxa" w:w="1728"/>
          </w:tcPr>
          <w:p>
            <w:r/>
          </w:p>
        </w:tc>
        <w:tc>
          <w:tcPr>
            <w:tcW w:type="dxa" w:w="1728"/>
          </w:tcPr>
          <w:p>
            <w:r>
              <w:t>45- 2-3</w:t>
            </w:r>
          </w:p>
        </w:tc>
        <w:tc>
          <w:tcPr>
            <w:tcW w:type="dxa" w:w="1728"/>
          </w:tcPr>
          <w:p>
            <w:r>
              <w:t>452122 12 and DA03/ DA04 452300 00</w:t>
            </w:r>
          </w:p>
        </w:tc>
        <w:tc>
          <w:tcPr>
            <w:tcW w:type="dxa" w:w="1728"/>
          </w:tcPr>
          <w:p>
            <w:r>
              <w:t>Roboty budowlane w zakresie basenów (publicznych lub prywatnych); Roboty budowlane w zakresie rurociągów, linii komunikacyjnych i energetycznych, autostrad, dróg, lotnisk i kolei; prace płaskie.</w:t>
            </w:r>
          </w:p>
        </w:tc>
      </w:tr>
      <w:tr>
        <w:tc>
          <w:tcPr>
            <w:tcW w:type="dxa" w:w="1728"/>
          </w:tcPr>
          <w:p>
            <w:r/>
          </w:p>
        </w:tc>
        <w:tc>
          <w:tcPr>
            <w:tcW w:type="dxa" w:w="1728"/>
          </w:tcPr>
          <w:p>
            <w:r/>
          </w:p>
        </w:tc>
        <w:tc>
          <w:tcPr>
            <w:tcW w:type="dxa" w:w="1728"/>
          </w:tcPr>
          <w:p>
            <w:r>
              <w:t>45- 2-4</w:t>
            </w:r>
          </w:p>
        </w:tc>
        <w:tc>
          <w:tcPr>
            <w:tcW w:type="dxa" w:w="1728"/>
          </w:tcPr>
          <w:p>
            <w:r>
              <w:t>45240000</w:t>
            </w:r>
          </w:p>
        </w:tc>
        <w:tc>
          <w:tcPr>
            <w:tcW w:type="dxa" w:w="1728"/>
          </w:tcPr>
          <w:p>
            <w:r>
              <w:t>Budowa obiektów inżynierii wodnej</w:t>
            </w:r>
          </w:p>
        </w:tc>
      </w:tr>
      <w:tr>
        <w:tc>
          <w:tcPr>
            <w:tcW w:type="dxa" w:w="1728"/>
          </w:tcPr>
          <w:p>
            <w:r/>
          </w:p>
        </w:tc>
        <w:tc>
          <w:tcPr>
            <w:tcW w:type="dxa" w:w="1728"/>
          </w:tcPr>
          <w:p>
            <w:r/>
          </w:p>
        </w:tc>
        <w:tc>
          <w:tcPr>
            <w:tcW w:type="dxa" w:w="1728"/>
          </w:tcPr>
          <w:p>
            <w:r>
              <w:t>45- 2-5</w:t>
            </w:r>
          </w:p>
        </w:tc>
        <w:tc>
          <w:tcPr>
            <w:tcW w:type="dxa" w:w="1728"/>
          </w:tcPr>
          <w:p>
            <w:r>
              <w:t>45250000</w:t>
            </w:r>
          </w:p>
        </w:tc>
        <w:tc>
          <w:tcPr>
            <w:tcW w:type="dxa" w:w="1728"/>
          </w:tcPr>
          <w:p>
            <w:r>
              <w:t>Roboty w zakresie instalowania, wydobycia produkcji oraz budowy obiektów budowlanych przemysłu naftowego i gazowniczego</w:t>
            </w:r>
          </w:p>
        </w:tc>
      </w:tr>
      <w:tr>
        <w:tc>
          <w:tcPr>
            <w:tcW w:type="dxa" w:w="1728"/>
          </w:tcPr>
          <w:p>
            <w:r/>
          </w:p>
        </w:tc>
        <w:tc>
          <w:tcPr>
            <w:tcW w:type="dxa" w:w="1728"/>
          </w:tcPr>
          <w:p>
            <w:r/>
          </w:p>
        </w:tc>
        <w:tc>
          <w:tcPr>
            <w:tcW w:type="dxa" w:w="1728"/>
          </w:tcPr>
          <w:p>
            <w:r>
              <w:t>45- 2-6</w:t>
            </w:r>
          </w:p>
        </w:tc>
        <w:tc>
          <w:tcPr>
            <w:tcW w:type="dxa" w:w="1728"/>
          </w:tcPr>
          <w:p>
            <w:r>
              <w:t>45262000</w:t>
            </w:r>
          </w:p>
        </w:tc>
        <w:tc>
          <w:tcPr>
            <w:tcW w:type="dxa" w:w="1728"/>
          </w:tcPr>
          <w:p>
            <w:r>
              <w:t>Specjalne roboty budowlane inne niż dachowe</w:t>
            </w:r>
          </w:p>
        </w:tc>
      </w:tr>
      <w:tr>
        <w:tc>
          <w:tcPr>
            <w:tcW w:type="dxa" w:w="1728"/>
          </w:tcPr>
          <w:p>
            <w:r/>
          </w:p>
        </w:tc>
        <w:tc>
          <w:tcPr>
            <w:tcW w:type="dxa" w:w="1728"/>
          </w:tcPr>
          <w:p>
            <w:r>
              <w:t>45-3</w:t>
            </w:r>
          </w:p>
        </w:tc>
        <w:tc>
          <w:tcPr>
            <w:tcW w:type="dxa" w:w="1728"/>
          </w:tcPr>
          <w:p>
            <w:r/>
          </w:p>
        </w:tc>
        <w:tc>
          <w:tcPr>
            <w:tcW w:type="dxa" w:w="1728"/>
          </w:tcPr>
          <w:p>
            <w:r>
              <w:t>45300000</w:t>
            </w:r>
          </w:p>
        </w:tc>
        <w:tc>
          <w:tcPr>
            <w:tcW w:type="dxa" w:w="1728"/>
          </w:tcPr>
          <w:p>
            <w:r>
              <w:t>Roboty instalacyjne w budynkach</w:t>
            </w:r>
          </w:p>
        </w:tc>
      </w:tr>
      <w:tr>
        <w:tc>
          <w:tcPr>
            <w:tcW w:type="dxa" w:w="1728"/>
          </w:tcPr>
          <w:p>
            <w:r>
              <w:t>Division</w:t>
            </w:r>
          </w:p>
        </w:tc>
        <w:tc>
          <w:tcPr>
            <w:tcW w:type="dxa" w:w="1728"/>
          </w:tcPr>
          <w:p>
            <w:r>
              <w:t>Group</w:t>
            </w:r>
          </w:p>
        </w:tc>
        <w:tc>
          <w:tcPr>
            <w:tcW w:type="dxa" w:w="1728"/>
          </w:tcPr>
          <w:p>
            <w:r>
              <w:t>Class</w:t>
            </w:r>
          </w:p>
        </w:tc>
        <w:tc>
          <w:tcPr>
            <w:tcW w:type="dxa" w:w="1728"/>
          </w:tcPr>
          <w:p>
            <w:r>
              <w:t>CPV code</w:t>
            </w:r>
          </w:p>
        </w:tc>
        <w:tc>
          <w:tcPr>
            <w:tcW w:type="dxa" w:w="1728"/>
          </w:tcPr>
          <w:p>
            <w:r>
              <w:t>Temat</w:t>
            </w:r>
          </w:p>
        </w:tc>
      </w:tr>
      <w:tr>
        <w:tc>
          <w:tcPr>
            <w:tcW w:type="dxa" w:w="1728"/>
          </w:tcPr>
          <w:p>
            <w:r/>
          </w:p>
        </w:tc>
        <w:tc>
          <w:tcPr>
            <w:tcW w:type="dxa" w:w="1728"/>
          </w:tcPr>
          <w:p>
            <w:r/>
          </w:p>
        </w:tc>
        <w:tc>
          <w:tcPr>
            <w:tcW w:type="dxa" w:w="1728"/>
          </w:tcPr>
          <w:p>
            <w:r>
              <w:t>45- 3-1</w:t>
            </w:r>
          </w:p>
        </w:tc>
        <w:tc>
          <w:tcPr>
            <w:tcW w:type="dxa" w:w="1728"/>
          </w:tcPr>
          <w:p>
            <w:r>
              <w:t>45310000</w:t>
            </w:r>
          </w:p>
        </w:tc>
        <w:tc>
          <w:tcPr>
            <w:tcW w:type="dxa" w:w="1728"/>
          </w:tcPr>
          <w:p>
            <w:r>
              <w:t>Roboty związane z instalacją elektryczną.</w:t>
            </w:r>
          </w:p>
        </w:tc>
      </w:tr>
      <w:tr>
        <w:tc>
          <w:tcPr>
            <w:tcW w:type="dxa" w:w="1728"/>
          </w:tcPr>
          <w:p>
            <w:r/>
          </w:p>
        </w:tc>
        <w:tc>
          <w:tcPr>
            <w:tcW w:type="dxa" w:w="1728"/>
          </w:tcPr>
          <w:p>
            <w:r/>
          </w:p>
        </w:tc>
        <w:tc>
          <w:tcPr>
            <w:tcW w:type="dxa" w:w="1728"/>
          </w:tcPr>
          <w:p>
            <w:r>
              <w:t>45- 3-2</w:t>
            </w:r>
          </w:p>
        </w:tc>
        <w:tc>
          <w:tcPr>
            <w:tcW w:type="dxa" w:w="1728"/>
          </w:tcPr>
          <w:p>
            <w:r>
              <w:t>45320000</w:t>
            </w:r>
          </w:p>
        </w:tc>
        <w:tc>
          <w:tcPr>
            <w:tcW w:type="dxa" w:w="1728"/>
          </w:tcPr>
          <w:p>
            <w:r>
              <w:t>Roboty związane z wykonywaniem izolacji</w:t>
            </w:r>
          </w:p>
        </w:tc>
      </w:tr>
      <w:tr>
        <w:tc>
          <w:tcPr>
            <w:tcW w:type="dxa" w:w="1728"/>
          </w:tcPr>
          <w:p>
            <w:r/>
          </w:p>
        </w:tc>
        <w:tc>
          <w:tcPr>
            <w:tcW w:type="dxa" w:w="1728"/>
          </w:tcPr>
          <w:p>
            <w:r/>
          </w:p>
        </w:tc>
        <w:tc>
          <w:tcPr>
            <w:tcW w:type="dxa" w:w="1728"/>
          </w:tcPr>
          <w:p>
            <w:r>
              <w:t>45- 3-3</w:t>
            </w:r>
          </w:p>
        </w:tc>
        <w:tc>
          <w:tcPr>
            <w:tcW w:type="dxa" w:w="1728"/>
          </w:tcPr>
          <w:p>
            <w:r>
              <w:t>45330000</w:t>
            </w:r>
          </w:p>
        </w:tc>
        <w:tc>
          <w:tcPr>
            <w:tcW w:type="dxa" w:w="1728"/>
          </w:tcPr>
          <w:p>
            <w:r>
              <w:t>Roboty instalacyjne wodno-kanalizacyjne i sanitarne</w:t>
            </w:r>
          </w:p>
        </w:tc>
      </w:tr>
      <w:tr>
        <w:tc>
          <w:tcPr>
            <w:tcW w:type="dxa" w:w="1728"/>
          </w:tcPr>
          <w:p>
            <w:r/>
          </w:p>
        </w:tc>
        <w:tc>
          <w:tcPr>
            <w:tcW w:type="dxa" w:w="1728"/>
          </w:tcPr>
          <w:p>
            <w:r/>
          </w:p>
        </w:tc>
        <w:tc>
          <w:tcPr>
            <w:tcW w:type="dxa" w:w="1728"/>
          </w:tcPr>
          <w:p>
            <w:r>
              <w:t>45- 3-4</w:t>
            </w:r>
          </w:p>
        </w:tc>
        <w:tc>
          <w:tcPr>
            <w:tcW w:type="dxa" w:w="1728"/>
          </w:tcPr>
          <w:p>
            <w:r>
              <w:t>45340000</w:t>
            </w:r>
          </w:p>
        </w:tc>
        <w:tc>
          <w:tcPr>
            <w:tcW w:type="dxa" w:w="1728"/>
          </w:tcPr>
          <w:p>
            <w:r>
              <w:t>Roboty instalacyjne w zakresie ogrodzeń, barierek i urządzeń zabezpieczających.</w:t>
            </w:r>
          </w:p>
        </w:tc>
      </w:tr>
      <w:tr>
        <w:tc>
          <w:tcPr>
            <w:tcW w:type="dxa" w:w="1728"/>
          </w:tcPr>
          <w:p>
            <w:r/>
          </w:p>
        </w:tc>
        <w:tc>
          <w:tcPr>
            <w:tcW w:type="dxa" w:w="1728"/>
          </w:tcPr>
          <w:p>
            <w:r>
              <w:t>45-4</w:t>
            </w:r>
          </w:p>
        </w:tc>
        <w:tc>
          <w:tcPr>
            <w:tcW w:type="dxa" w:w="1728"/>
          </w:tcPr>
          <w:p>
            <w:r/>
          </w:p>
        </w:tc>
        <w:tc>
          <w:tcPr>
            <w:tcW w:type="dxa" w:w="1728"/>
          </w:tcPr>
          <w:p>
            <w:r>
              <w:t>45400000</w:t>
            </w:r>
          </w:p>
        </w:tc>
        <w:tc>
          <w:tcPr>
            <w:tcW w:type="dxa" w:w="1728"/>
          </w:tcPr>
          <w:p>
            <w:r>
              <w:t>Roboty budowlane wykończeniowe</w:t>
            </w:r>
          </w:p>
        </w:tc>
      </w:tr>
      <w:tr>
        <w:tc>
          <w:tcPr>
            <w:tcW w:type="dxa" w:w="1728"/>
          </w:tcPr>
          <w:p>
            <w:r/>
          </w:p>
        </w:tc>
        <w:tc>
          <w:tcPr>
            <w:tcW w:type="dxa" w:w="1728"/>
          </w:tcPr>
          <w:p>
            <w:r/>
          </w:p>
        </w:tc>
        <w:tc>
          <w:tcPr>
            <w:tcW w:type="dxa" w:w="1728"/>
          </w:tcPr>
          <w:p>
            <w:r>
              <w:t>45- 4-1</w:t>
            </w:r>
          </w:p>
        </w:tc>
        <w:tc>
          <w:tcPr>
            <w:tcW w:type="dxa" w:w="1728"/>
          </w:tcPr>
          <w:p>
            <w:r>
              <w:t>45410000</w:t>
            </w:r>
          </w:p>
        </w:tc>
        <w:tc>
          <w:tcPr>
            <w:tcW w:type="dxa" w:w="1728"/>
          </w:tcPr>
          <w:p>
            <w:r>
              <w:t>Tynkowanie</w:t>
            </w:r>
          </w:p>
        </w:tc>
      </w:tr>
      <w:tr>
        <w:tc>
          <w:tcPr>
            <w:tcW w:type="dxa" w:w="1728"/>
          </w:tcPr>
          <w:p>
            <w:r/>
          </w:p>
        </w:tc>
        <w:tc>
          <w:tcPr>
            <w:tcW w:type="dxa" w:w="1728"/>
          </w:tcPr>
          <w:p>
            <w:r/>
          </w:p>
        </w:tc>
        <w:tc>
          <w:tcPr>
            <w:tcW w:type="dxa" w:w="1728"/>
          </w:tcPr>
          <w:p>
            <w:r>
              <w:t>45- 4-2</w:t>
            </w:r>
          </w:p>
        </w:tc>
        <w:tc>
          <w:tcPr>
            <w:tcW w:type="dxa" w:w="1728"/>
          </w:tcPr>
          <w:p>
            <w:r>
              <w:t>45420000</w:t>
            </w:r>
          </w:p>
        </w:tc>
        <w:tc>
          <w:tcPr>
            <w:tcW w:type="dxa" w:w="1728"/>
          </w:tcPr>
          <w:p>
            <w:r>
              <w:t>Roboty w zakresie zakładania stolarki budowlanej oraz roboty ciesielskie</w:t>
            </w:r>
          </w:p>
        </w:tc>
      </w:tr>
      <w:tr>
        <w:tc>
          <w:tcPr>
            <w:tcW w:type="dxa" w:w="1728"/>
          </w:tcPr>
          <w:p>
            <w:r/>
          </w:p>
        </w:tc>
        <w:tc>
          <w:tcPr>
            <w:tcW w:type="dxa" w:w="1728"/>
          </w:tcPr>
          <w:p>
            <w:r/>
          </w:p>
        </w:tc>
        <w:tc>
          <w:tcPr>
            <w:tcW w:type="dxa" w:w="1728"/>
          </w:tcPr>
          <w:p>
            <w:r>
              <w:t>45- 4-3</w:t>
            </w:r>
          </w:p>
        </w:tc>
        <w:tc>
          <w:tcPr>
            <w:tcW w:type="dxa" w:w="1728"/>
          </w:tcPr>
          <w:p>
            <w:r>
              <w:t>45430000</w:t>
            </w:r>
          </w:p>
        </w:tc>
        <w:tc>
          <w:tcPr>
            <w:tcW w:type="dxa" w:w="1728"/>
          </w:tcPr>
          <w:p>
            <w:r>
              <w:t>Pokrywanie podłóg i ścian</w:t>
            </w:r>
          </w:p>
        </w:tc>
      </w:tr>
      <w:tr>
        <w:tc>
          <w:tcPr>
            <w:tcW w:type="dxa" w:w="1728"/>
          </w:tcPr>
          <w:p>
            <w:r/>
          </w:p>
        </w:tc>
        <w:tc>
          <w:tcPr>
            <w:tcW w:type="dxa" w:w="1728"/>
          </w:tcPr>
          <w:p>
            <w:r/>
          </w:p>
        </w:tc>
        <w:tc>
          <w:tcPr>
            <w:tcW w:type="dxa" w:w="1728"/>
          </w:tcPr>
          <w:p>
            <w:r>
              <w:t>45- 4-4</w:t>
            </w:r>
          </w:p>
        </w:tc>
        <w:tc>
          <w:tcPr>
            <w:tcW w:type="dxa" w:w="1728"/>
          </w:tcPr>
          <w:p>
            <w:r>
              <w:t>45440000</w:t>
            </w:r>
          </w:p>
        </w:tc>
        <w:tc>
          <w:tcPr>
            <w:tcW w:type="dxa" w:w="1728"/>
          </w:tcPr>
          <w:p>
            <w:r>
              <w:t>Roboty malarskie i szklarskie</w:t>
            </w:r>
          </w:p>
        </w:tc>
      </w:tr>
      <w:tr>
        <w:tc>
          <w:tcPr>
            <w:tcW w:type="dxa" w:w="1728"/>
          </w:tcPr>
          <w:p>
            <w:r/>
          </w:p>
        </w:tc>
        <w:tc>
          <w:tcPr>
            <w:tcW w:type="dxa" w:w="1728"/>
          </w:tcPr>
          <w:p>
            <w:r/>
          </w:p>
        </w:tc>
        <w:tc>
          <w:tcPr>
            <w:tcW w:type="dxa" w:w="1728"/>
          </w:tcPr>
          <w:p>
            <w:r>
              <w:t>45- 4-5</w:t>
            </w:r>
          </w:p>
        </w:tc>
        <w:tc>
          <w:tcPr>
            <w:tcW w:type="dxa" w:w="1728"/>
          </w:tcPr>
          <w:p>
            <w:r>
              <w:t>45450000</w:t>
            </w:r>
          </w:p>
        </w:tc>
        <w:tc>
          <w:tcPr>
            <w:tcW w:type="dxa" w:w="1728"/>
          </w:tcPr>
          <w:p>
            <w:r>
              <w:t>Roboty budowlane wykończeniowe, pozostałe</w:t>
            </w:r>
          </w:p>
        </w:tc>
      </w:tr>
      <w:tr>
        <w:tc>
          <w:tcPr>
            <w:tcW w:type="dxa" w:w="1728"/>
          </w:tcPr>
          <w:p>
            <w:r/>
          </w:p>
        </w:tc>
        <w:tc>
          <w:tcPr>
            <w:tcW w:type="dxa" w:w="1728"/>
          </w:tcPr>
          <w:p>
            <w:r>
              <w:t>45-5</w:t>
            </w:r>
          </w:p>
        </w:tc>
        <w:tc>
          <w:tcPr>
            <w:tcW w:type="dxa" w:w="1728"/>
          </w:tcPr>
          <w:p>
            <w:r/>
          </w:p>
        </w:tc>
        <w:tc>
          <w:tcPr>
            <w:tcW w:type="dxa" w:w="1728"/>
          </w:tcPr>
          <w:p>
            <w:r>
              <w:t>45500000</w:t>
            </w:r>
          </w:p>
        </w:tc>
        <w:tc>
          <w:tcPr>
            <w:tcW w:type="dxa" w:w="1728"/>
          </w:tcPr>
          <w:p>
            <w:r>
              <w:t>Wynajem maszyn i urządzeń wraz z obsługą operatorską do prowadzenia robót z zakresu budownictwa oraz inżynierii wodnej i lądowej</w:t>
            </w:r>
          </w:p>
        </w:tc>
      </w:tr>
    </w:tbl>
    <w:p>
      <w:pPr>
        <w:pStyle w:val="Heading1"/>
      </w:pPr>
      <w:r>
        <w:t>ZAŁĄCZNIK VI</w:t>
      </w:r>
    </w:p>
    <w:p>
      <w:pPr>
        <w:pStyle w:val="Heading3"/>
        <w:jc w:val="center"/>
      </w:pPr>
      <w:r>
        <w:t>Usługi, o których mowa w art. 57 ust. 2 i art. 58 ust. 1</w:t>
      </w:r>
    </w:p>
    <w:tbl>
      <w:tblPr>
        <w:tblStyle w:val="TableGrid"/>
        <w:tblW w:type="auto" w:w="0"/>
        <w:tblLook w:firstColumn="1" w:firstRow="1" w:lastColumn="0" w:lastRow="0" w:noHBand="0" w:noVBand="1" w:val="04A0"/>
      </w:tblPr>
      <w:tblGrid>
        <w:gridCol w:w="4320"/>
        <w:gridCol w:w="4320"/>
      </w:tblGrid>
      <w:tr>
        <w:tc>
          <w:tcPr>
            <w:tcW w:type="dxa" w:w="4320"/>
          </w:tcPr>
          <w:p>
            <w:r>
              <w:t>Kod CPV</w:t>
            </w:r>
          </w:p>
        </w:tc>
        <w:tc>
          <w:tcPr>
            <w:tcW w:type="dxa" w:w="4320"/>
          </w:tcPr>
          <w:p>
            <w:r>
              <w:t>Opis</w:t>
            </w:r>
          </w:p>
        </w:tc>
      </w:tr>
      <w:tr>
        <w:tc>
          <w:tcPr>
            <w:tcW w:type="dxa" w:w="4320"/>
          </w:tcPr>
          <w:p>
            <w:r>
              <w:t>75200000-8; 75231200-6; 75231240-8; 79611000-0; 79622000-0 [Supply services of domestic help personnel]; 79624000-4 [Supply services of nursing personnel] and 79625000-1 [Supply services of medical personnel] from 85000000-9 to 85323000-9; 98133100-5, 98133000-4; 98200000-5; 98500000-8 [Private households with employed persons] and 98513000-2 to 98514000-9 [Manpower services for households, Agency staff services for households, Clerical staff services for households, Temporary staff for households, Home- help services and Domestic services]</w:t>
            </w:r>
          </w:p>
        </w:tc>
        <w:tc>
          <w:tcPr>
            <w:tcW w:type="dxa" w:w="4320"/>
          </w:tcPr>
          <w:p>
            <w:r>
              <w:t>Usługi zdrowotne, społeczne i powiązane</w:t>
            </w:r>
          </w:p>
        </w:tc>
      </w:tr>
      <w:tr>
        <w:tc>
          <w:tcPr>
            <w:tcW w:type="dxa" w:w="4320"/>
          </w:tcPr>
          <w:p>
            <w:r>
              <w:t>85321000-5 and 85322000-2, 75000000- 6 [Administration, defence and social security services], 75121000-0, 75122000-7, 75124000-1; from 79995000-5 to 79995200-7; from 80000000-4 Education and training services to 80660000-8;</w:t>
            </w:r>
          </w:p>
        </w:tc>
        <w:tc>
          <w:tcPr>
            <w:tcW w:type="dxa" w:w="4320"/>
          </w:tcPr>
          <w:p>
            <w:r>
              <w:t>Administracyjne usługi społeczne, edukacyjne i zdrowotne</w:t>
            </w:r>
          </w:p>
        </w:tc>
      </w:tr>
      <w:tr>
        <w:tc>
          <w:tcPr>
            <w:tcW w:type="dxa" w:w="4320"/>
          </w:tcPr>
          <w:p>
            <w:r>
              <w:t>92500000-6 and 92600000-7</w:t>
            </w:r>
          </w:p>
        </w:tc>
        <w:tc>
          <w:tcPr>
            <w:tcW w:type="dxa" w:w="4320"/>
          </w:tcPr>
          <w:p>
            <w:r>
              <w:t>Usługi bibliotek, archiwów, muzeów oraz pozostałe usługi w zakresie kultury, a także usługi związane ze sportem</w:t>
            </w:r>
          </w:p>
        </w:tc>
      </w:tr>
      <w:tr>
        <w:tc>
          <w:tcPr>
            <w:tcW w:type="dxa" w:w="4320"/>
          </w:tcPr>
          <w:p>
            <w:r>
              <w:t>75300000-9</w:t>
            </w:r>
          </w:p>
        </w:tc>
        <w:tc>
          <w:tcPr>
            <w:tcW w:type="dxa" w:w="4320"/>
          </w:tcPr>
          <w:p>
            <w:r>
              <w:t>Usługi w zakresie obowiązkowego ubezpieczenia społecznego</w:t>
            </w:r>
          </w:p>
        </w:tc>
      </w:tr>
      <w:tr>
        <w:tc>
          <w:tcPr>
            <w:tcW w:type="dxa" w:w="4320"/>
          </w:tcPr>
          <w:p>
            <w:r>
              <w:t>75310000-2, 75311000-9, 75312000-6, 75313000-3, 75313100-4, 75314000-0, 75320000-5, 75330000-8, 75340000-1</w:t>
            </w:r>
          </w:p>
        </w:tc>
        <w:tc>
          <w:tcPr>
            <w:tcW w:type="dxa" w:w="4320"/>
          </w:tcPr>
          <w:p>
            <w:r>
              <w:t>Świadczenia społeczne</w:t>
            </w:r>
          </w:p>
        </w:tc>
      </w:tr>
      <w:tr>
        <w:tc>
          <w:tcPr>
            <w:tcW w:type="dxa" w:w="4320"/>
          </w:tcPr>
          <w:p>
            <w:r>
              <w:t>98000000-3; 98120000-0; 98132000-7; 98133110-8 and 98130000-3</w:t>
            </w:r>
          </w:p>
        </w:tc>
        <w:tc>
          <w:tcPr>
            <w:tcW w:type="dxa" w:w="4320"/>
          </w:tcPr>
          <w:p>
            <w:r>
              <w:t>Inne usługi komunalne, socjalne i osobiste, w tym usługi świadczone przez związki zawodowe, organizacje polityczne, stowarzyszenia młodzieżowe i inne usługi świadczone przez organizacje członkowskie</w:t>
            </w:r>
          </w:p>
        </w:tc>
      </w:tr>
      <w:tr>
        <w:tc>
          <w:tcPr>
            <w:tcW w:type="dxa" w:w="4320"/>
          </w:tcPr>
          <w:p>
            <w:r>
              <w:t>98131000-0</w:t>
            </w:r>
          </w:p>
        </w:tc>
        <w:tc>
          <w:tcPr>
            <w:tcW w:type="dxa" w:w="4320"/>
          </w:tcPr>
          <w:p>
            <w:r>
              <w:t>Usługi religijne</w:t>
            </w:r>
          </w:p>
        </w:tc>
      </w:tr>
      <w:tr>
        <w:tc>
          <w:tcPr>
            <w:tcW w:type="dxa" w:w="4320"/>
          </w:tcPr>
          <w:p>
            <w:r>
              <w:t>75200000-8 to 75231000-4</w:t>
            </w:r>
          </w:p>
        </w:tc>
        <w:tc>
          <w:tcPr>
            <w:tcW w:type="dxa" w:w="4320"/>
          </w:tcPr>
          <w:p>
            <w:r>
              <w:t>Świadczenie usług na rzecz społeczności</w:t>
            </w:r>
          </w:p>
        </w:tc>
      </w:tr>
      <w:tr>
        <w:tc>
          <w:tcPr>
            <w:tcW w:type="dxa" w:w="4320"/>
          </w:tcPr>
          <w:p>
            <w:r>
              <w:t>75231210-9 to 75231230-5; 75240000-0 to 75252000-7; 794300000-7; 98113100- 9</w:t>
            </w:r>
          </w:p>
        </w:tc>
        <w:tc>
          <w:tcPr>
            <w:tcW w:type="dxa" w:w="4320"/>
          </w:tcPr>
          <w:p>
            <w:r>
              <w:t>Służby więzienne, służby bezpieczeństwa publicznego i służby ratownicze w zakresie, w jakim nie są wyłączone na podstawie art. 85 ust. 1 lit. k)</w:t>
            </w:r>
          </w:p>
        </w:tc>
      </w:tr>
    </w:tbl>
    <w:p>
      <w:pPr>
        <w:pStyle w:val="Heading1"/>
      </w:pPr>
      <w:r>
        <w:t>ZAŁĄCZNIK VII</w:t>
      </w:r>
    </w:p>
    <w:p>
      <w:pPr>
        <w:pStyle w:val="Heading3"/>
        <w:jc w:val="center"/>
      </w:pPr>
      <w:r>
        <w:t>Wykaz unijnych aktów prawnych, o których mowa w art. 54</w:t>
      </w:r>
    </w:p>
    <w:p>
      <w:r>
        <w:t>1. Rozporządzenie (UE) 2024/3110 z dnia 27 listopada 2024 r. w sprawie ustanowienia zharmonizowanych przepisów dotyczących wprowadzania do obrotu wyrobów budowlanych i uchylenia rozporządzenia (UE) nr 305/2011[11];</w:t>
      </w:r>
    </w:p>
    <w:p>
      <w:r>
        <w:t>2. Rozporządzenie Parlamentu Europejskiego i Rady (UE) 2024/1781 z dnia 13 czerwca 2024 r. w sprawie ustanowienia ram ustalania wymogów ekoprojektu w odniesieniu do zrównoważonych produktów oraz zmiany dyrektywy (UE) 2020/1828 i rozporządzenia (UE) 2023/1542 i uchylenia dyrektywy 2009/125/WE[12];</w:t>
      </w:r>
    </w:p>
    <w:p>
      <w:r>
        <w:t>3. Rozporządzenie Parlamentu Europejskiego i Rady (UE) 2023/1542 z dnia 12 lipca 2023 r. w sprawie baterii i zużytych baterii, zmieniające dyrektywę 2008/98/WE i rozporządzenie (UE) 2019/1020 oraz uchylające dyrektywę 2006/66/WE[13];</w:t>
      </w:r>
    </w:p>
    <w:p>
      <w:r>
        <w:t>4. Rozporządzenie Parlamentu Europejskiego i Rady (UE) 2025/40 z dnia 19 grudnia 2024 r. w sprawie opakowań i odpadów opakowaniowych, zmiany rozporządzenia (UE) 2019/1020 i dyrektywy (UE) 2019/904 oraz uchylenia dyrektywy 94/62/WE[14];</w:t>
      </w:r>
    </w:p>
    <w:p>
      <w:r>
        <w:t>5. Rozporządzenie Parlamentu Europejskiego i Rady (UE) 2024/1735 z dnia 13 czerwca 2024 r. w sprawie ustanowienia ram środków na rzecz wzmocnienia europejskiego ekosystemu produkcji technologii neutralnych emisyjnie i zmieniające rozporządzenie (UE) 2018/1724[15];</w:t>
      </w:r>
    </w:p>
    <w:p>
      <w:r>
        <w:t>6. Rozporządzenie Parlamentu Europejskiego i Rady (UE) 2019/1242 z dnia 20 czerwca 2019 r. określające normy emisji CO2 dla nowych pojazdów ciężkich oraz zmieniające rozporządzenia Parlamentu Europejskiego i Rady (WE) nr 595/2009 i (UE) 2018/956 oraz dyrektywę Rady 96/53/WE[16];</w:t>
      </w:r>
    </w:p>
    <w:p>
      <w:r>
        <w:t>7. Rozporządzenie Parlamentu Europejskiego i Rady (UE) 2019/631 z dnia 17 kwietnia 2019 r. określające normy emisji CO2 dla nowych samochodów osobowych i dla nowych lekkich pojazdów użytkowych oraz uchylające rozporządzenia (WE) nr 443/2009 oraz</w:t>
      </w:r>
    </w:p>
    <w:p>
      <w:r>
        <w:t>(UE) nr 510/2011 (wersja przekształcona)[17];</w:t>
      </w:r>
    </w:p>
    <w:p>
      <w:r>
        <w:t>8. Rozporządzenie Parlamentu Europejskiego i Rady (UE) 2020/740 z dnia 25 maja 2020 r. w sprawie etykietowania opon pod kątem efektywności paliwowej i innych parametrów, zmieniające rozporządzenie (UE) 2017/1369 oraz uchylające rozporządzenie (WE) nr 1222/2009[18].</w:t>
      </w:r>
    </w:p>
    <w:p>
      <w:r>
        <w:rPr>
          <w:sz w:val="16"/>
        </w:rPr>
        <w:t>11 DZ.U. L, 2024/3110, 18.12.2024, ELI: http://data.europa.eu/eli/reg/2024/3110/oj.</w:t>
      </w:r>
    </w:p>
    <w:p>
      <w:r>
        <w:rPr>
          <w:sz w:val="16"/>
        </w:rPr>
        <w:t>12 DZ.U. L, 2024/1781, 28.6.2024, ELI: http://data.europa.eu/eli/reg/2024/1781/oj.</w:t>
      </w:r>
    </w:p>
    <w:p>
      <w:r>
        <w:rPr>
          <w:sz w:val="16"/>
        </w:rPr>
        <w:t>13 Dz.U. L 191 z 28.7.2023, s. 1, ELI: http://data.europa.eu/eli/reg/2023/1542/oj.</w:t>
      </w:r>
    </w:p>
    <w:p>
      <w:r>
        <w:rPr>
          <w:sz w:val="16"/>
        </w:rPr>
        <w:t>14 DZ.U. L, 2025/40, 22.1.2025, ELI: http://data.europa.eu/eli/reg/2025/40/oj.</w:t>
      </w:r>
    </w:p>
    <w:p>
      <w:r>
        <w:rPr>
          <w:sz w:val="16"/>
        </w:rPr>
        <w:t>15 DZ.U. L, 2024/1735, 28.6.2024, ELI: http://data.europa.eu/eli/reg/2024/1735/oj.</w:t>
      </w:r>
    </w:p>
    <w:p>
      <w:r>
        <w:rPr>
          <w:sz w:val="16"/>
        </w:rPr>
        <w:t>16 Dz.U. L 111 z 25.4.2019, s. 13, ELI: http://data.europa.eu/eli/reg/2019/631/oj.</w:t>
      </w:r>
    </w:p>
    <w:p>
      <w:r>
        <w:rPr>
          <w:sz w:val="16"/>
        </w:rPr>
        <w:t>17 Dz.U. L 111 z 25.4.2019, s. 13, ELI: http://data.europa.eu/eli/reg/2019/631/oj.</w:t>
      </w:r>
    </w:p>
    <w:p>
      <w:r>
        <w:rPr>
          <w:sz w:val="16"/>
        </w:rPr>
        <w:t>18 Dz.U. L 177 z 5.6.2020, s. 1, ELI: http://data.europa.eu/eli/reg/2020/740/oj.</w:t>
      </w:r>
    </w:p>
    <w:p>
      <w:pPr>
        <w:pStyle w:val="Heading1"/>
      </w:pPr>
      <w:r>
        <w:t>ZAŁĄCZNIK VIII</w:t>
      </w:r>
    </w:p>
    <w:p>
      <w:pPr>
        <w:pStyle w:val="Heading3"/>
        <w:jc w:val="center"/>
      </w:pPr>
      <w:r>
        <w:t>Tabela korelacji</w:t>
      </w:r>
    </w:p>
    <w:p>
      <w:r>
        <w:t>Część A – Uchylenia na podstawie art. 146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Niniejsze rozporządzenie</w:t>
            </w:r>
          </w:p>
        </w:tc>
        <w:tc>
          <w:tcPr>
            <w:tcW w:type="dxa" w:w="2160"/>
          </w:tcPr>
          <w:p>
            <w:r>
              <w:t>Dyrektywa 2014/23/UE</w:t>
            </w:r>
          </w:p>
        </w:tc>
        <w:tc>
          <w:tcPr>
            <w:tcW w:type="dxa" w:w="2160"/>
          </w:tcPr>
          <w:p>
            <w:r>
              <w:t>Dyrektywa 2014/24/UE</w:t>
            </w:r>
          </w:p>
        </w:tc>
        <w:tc>
          <w:tcPr>
            <w:tcW w:type="dxa" w:w="2160"/>
          </w:tcPr>
          <w:p>
            <w:r>
              <w:t>Dyrektywa 2014/25/UE</w:t>
            </w:r>
          </w:p>
        </w:tc>
      </w:tr>
      <w:tr>
        <w:tc>
          <w:tcPr>
            <w:tcW w:type="dxa" w:w="2160"/>
          </w:tcPr>
          <w:p>
            <w:r>
              <w:t>Art. 1</w:t>
            </w:r>
          </w:p>
        </w:tc>
        <w:tc>
          <w:tcPr>
            <w:tcW w:type="dxa" w:w="2160"/>
          </w:tcPr>
          <w:p>
            <w:r>
              <w:t>Art. 1</w:t>
            </w:r>
          </w:p>
        </w:tc>
        <w:tc>
          <w:tcPr>
            <w:tcW w:type="dxa" w:w="2160"/>
          </w:tcPr>
          <w:p>
            <w:r>
              <w:t>Art. 1</w:t>
            </w:r>
          </w:p>
        </w:tc>
        <w:tc>
          <w:tcPr>
            <w:tcW w:type="dxa" w:w="2160"/>
          </w:tcPr>
          <w:p>
            <w:r>
              <w:t>Art. 1</w:t>
            </w:r>
          </w:p>
        </w:tc>
      </w:tr>
      <w:tr>
        <w:tc>
          <w:tcPr>
            <w:tcW w:type="dxa" w:w="2160"/>
          </w:tcPr>
          <w:p>
            <w:r>
              <w:t>Art. 2</w:t>
            </w:r>
          </w:p>
        </w:tc>
        <w:tc>
          <w:tcPr>
            <w:tcW w:type="dxa" w:w="2160"/>
          </w:tcPr>
          <w:p>
            <w:r>
              <w:t>Art. 8</w:t>
            </w:r>
          </w:p>
        </w:tc>
        <w:tc>
          <w:tcPr>
            <w:tcW w:type="dxa" w:w="2160"/>
          </w:tcPr>
          <w:p>
            <w:r>
              <w:t>Art. 4</w:t>
            </w:r>
          </w:p>
        </w:tc>
        <w:tc>
          <w:tcPr>
            <w:tcW w:type="dxa" w:w="2160"/>
          </w:tcPr>
          <w:p>
            <w:r>
              <w:t>Art. 15</w:t>
            </w:r>
          </w:p>
        </w:tc>
      </w:tr>
      <w:tr>
        <w:tc>
          <w:tcPr>
            <w:tcW w:type="dxa" w:w="2160"/>
          </w:tcPr>
          <w:p>
            <w:r>
              <w:t>Art. 3</w:t>
            </w:r>
          </w:p>
        </w:tc>
        <w:tc>
          <w:tcPr>
            <w:tcW w:type="dxa" w:w="2160"/>
          </w:tcPr>
          <w:p>
            <w:r>
              <w:t>Art. 9</w:t>
            </w:r>
          </w:p>
        </w:tc>
        <w:tc>
          <w:tcPr>
            <w:tcW w:type="dxa" w:w="2160"/>
          </w:tcPr>
          <w:p>
            <w:r>
              <w:t>Art. 6</w:t>
            </w:r>
          </w:p>
        </w:tc>
        <w:tc>
          <w:tcPr>
            <w:tcW w:type="dxa" w:w="2160"/>
          </w:tcPr>
          <w:p>
            <w:r>
              <w:t>Art. 17</w:t>
            </w:r>
          </w:p>
        </w:tc>
      </w:tr>
      <w:tr>
        <w:tc>
          <w:tcPr>
            <w:tcW w:type="dxa" w:w="2160"/>
          </w:tcPr>
          <w:p>
            <w:r>
              <w:t>Art. 4</w:t>
            </w:r>
          </w:p>
        </w:tc>
        <w:tc>
          <w:tcPr>
            <w:tcW w:type="dxa" w:w="2160"/>
          </w:tcPr>
          <w:p>
            <w:r>
              <w:t>Art. 3</w:t>
            </w:r>
          </w:p>
        </w:tc>
        <w:tc>
          <w:tcPr>
            <w:tcW w:type="dxa" w:w="2160"/>
          </w:tcPr>
          <w:p>
            <w:r>
              <w:t>Art.18</w:t>
            </w:r>
          </w:p>
        </w:tc>
        <w:tc>
          <w:tcPr>
            <w:tcW w:type="dxa" w:w="2160"/>
          </w:tcPr>
          <w:p>
            <w:r>
              <w:t>Art. 36</w:t>
            </w:r>
          </w:p>
        </w:tc>
      </w:tr>
      <w:tr>
        <w:tc>
          <w:tcPr>
            <w:tcW w:type="dxa" w:w="2160"/>
          </w:tcPr>
          <w:p>
            <w:r>
              <w:t>Art. 5</w:t>
            </w:r>
          </w:p>
        </w:tc>
        <w:tc>
          <w:tcPr>
            <w:tcW w:type="dxa" w:w="2160"/>
          </w:tcPr>
          <w:p>
            <w:r>
              <w:t>-</w:t>
            </w:r>
          </w:p>
        </w:tc>
        <w:tc>
          <w:tcPr>
            <w:tcW w:type="dxa" w:w="2160"/>
          </w:tcPr>
          <w:p>
            <w:r>
              <w:t>-</w:t>
            </w:r>
          </w:p>
        </w:tc>
        <w:tc>
          <w:tcPr>
            <w:tcW w:type="dxa" w:w="2160"/>
          </w:tcPr>
          <w:p>
            <w:r>
              <w:t>-</w:t>
            </w:r>
          </w:p>
        </w:tc>
      </w:tr>
      <w:tr>
        <w:tc>
          <w:tcPr>
            <w:tcW w:type="dxa" w:w="2160"/>
          </w:tcPr>
          <w:p>
            <w:r>
              <w:t>Art. 6</w:t>
            </w:r>
          </w:p>
        </w:tc>
        <w:tc>
          <w:tcPr>
            <w:tcW w:type="dxa" w:w="2160"/>
          </w:tcPr>
          <w:p>
            <w:r>
              <w:t>Art. 5</w:t>
            </w:r>
          </w:p>
        </w:tc>
        <w:tc>
          <w:tcPr>
            <w:tcW w:type="dxa" w:w="2160"/>
          </w:tcPr>
          <w:p>
            <w:r>
              <w:t>Art. 2</w:t>
            </w:r>
          </w:p>
        </w:tc>
        <w:tc>
          <w:tcPr>
            <w:tcW w:type="dxa" w:w="2160"/>
          </w:tcPr>
          <w:p>
            <w:r>
              <w:t>Art. 2</w:t>
            </w:r>
          </w:p>
        </w:tc>
      </w:tr>
      <w:tr>
        <w:tc>
          <w:tcPr>
            <w:tcW w:type="dxa" w:w="2160"/>
          </w:tcPr>
          <w:p>
            <w:r>
              <w:t>Art. 7</w:t>
            </w:r>
          </w:p>
        </w:tc>
        <w:tc>
          <w:tcPr>
            <w:tcW w:type="dxa" w:w="2160"/>
          </w:tcPr>
          <w:p>
            <w:r>
              <w:t>Art. 6</w:t>
            </w:r>
          </w:p>
        </w:tc>
        <w:tc>
          <w:tcPr>
            <w:tcW w:type="dxa" w:w="2160"/>
          </w:tcPr>
          <w:p>
            <w:r>
              <w:t>Art. 2 Para. 1(1), (3) Art. 6 Para. 7</w:t>
            </w:r>
          </w:p>
        </w:tc>
        <w:tc>
          <w:tcPr>
            <w:tcW w:type="dxa" w:w="2160"/>
          </w:tcPr>
          <w:p>
            <w:r>
              <w:t>Art. 3</w:t>
            </w:r>
          </w:p>
        </w:tc>
      </w:tr>
      <w:tr>
        <w:tc>
          <w:tcPr>
            <w:tcW w:type="dxa" w:w="2160"/>
          </w:tcPr>
          <w:p>
            <w:r>
              <w:t>Art. 8</w:t>
            </w:r>
          </w:p>
        </w:tc>
        <w:tc>
          <w:tcPr>
            <w:tcW w:type="dxa" w:w="2160"/>
          </w:tcPr>
          <w:p>
            <w:r>
              <w:t>Art. 7</w:t>
            </w:r>
          </w:p>
        </w:tc>
        <w:tc>
          <w:tcPr>
            <w:tcW w:type="dxa" w:w="2160"/>
          </w:tcPr>
          <w:p>
            <w:r>
              <w:t>Art. 13</w:t>
            </w:r>
          </w:p>
        </w:tc>
        <w:tc>
          <w:tcPr>
            <w:tcW w:type="dxa" w:w="2160"/>
          </w:tcPr>
          <w:p>
            <w:r>
              <w:t>Art. 4</w:t>
            </w:r>
          </w:p>
        </w:tc>
      </w:tr>
      <w:tr>
        <w:tc>
          <w:tcPr>
            <w:tcW w:type="dxa" w:w="2160"/>
          </w:tcPr>
          <w:p>
            <w:r>
              <w:t>Art. 9</w:t>
            </w:r>
          </w:p>
        </w:tc>
        <w:tc>
          <w:tcPr>
            <w:tcW w:type="dxa" w:w="2160"/>
          </w:tcPr>
          <w:p>
            <w:r>
              <w:t>-</w:t>
            </w:r>
          </w:p>
        </w:tc>
        <w:tc>
          <w:tcPr>
            <w:tcW w:type="dxa" w:w="2160"/>
          </w:tcPr>
          <w:p>
            <w:r>
              <w:t>Art. 37</w:t>
            </w:r>
          </w:p>
        </w:tc>
        <w:tc>
          <w:tcPr>
            <w:tcW w:type="dxa" w:w="2160"/>
          </w:tcPr>
          <w:p>
            <w:r>
              <w:t>Art. 55</w:t>
            </w:r>
          </w:p>
        </w:tc>
      </w:tr>
      <w:tr>
        <w:tc>
          <w:tcPr>
            <w:tcW w:type="dxa" w:w="2160"/>
          </w:tcPr>
          <w:p>
            <w:r>
              <w:t>Art. 10</w:t>
            </w:r>
          </w:p>
        </w:tc>
        <w:tc>
          <w:tcPr>
            <w:tcW w:type="dxa" w:w="2160"/>
          </w:tcPr>
          <w:p>
            <w:r>
              <w:t>Art. 14</w:t>
            </w:r>
          </w:p>
        </w:tc>
        <w:tc>
          <w:tcPr>
            <w:tcW w:type="dxa" w:w="2160"/>
          </w:tcPr>
          <w:p>
            <w:r>
              <w:t>Art. 38</w:t>
            </w:r>
          </w:p>
        </w:tc>
        <w:tc>
          <w:tcPr>
            <w:tcW w:type="dxa" w:w="2160"/>
          </w:tcPr>
          <w:p>
            <w:r>
              <w:t>Art. 56</w:t>
            </w:r>
          </w:p>
        </w:tc>
      </w:tr>
      <w:tr>
        <w:tc>
          <w:tcPr>
            <w:tcW w:type="dxa" w:w="2160"/>
          </w:tcPr>
          <w:p>
            <w:r>
              <w:t>Art. 11</w:t>
            </w:r>
          </w:p>
        </w:tc>
        <w:tc>
          <w:tcPr>
            <w:tcW w:type="dxa" w:w="2160"/>
          </w:tcPr>
          <w:p>
            <w:r>
              <w:t>-</w:t>
            </w:r>
          </w:p>
        </w:tc>
        <w:tc>
          <w:tcPr>
            <w:tcW w:type="dxa" w:w="2160"/>
          </w:tcPr>
          <w:p>
            <w:r>
              <w:t>-</w:t>
            </w:r>
          </w:p>
        </w:tc>
        <w:tc>
          <w:tcPr>
            <w:tcW w:type="dxa" w:w="2160"/>
          </w:tcPr>
          <w:p>
            <w:r>
              <w:t>Art. 7</w:t>
            </w:r>
          </w:p>
        </w:tc>
      </w:tr>
      <w:tr>
        <w:tc>
          <w:tcPr>
            <w:tcW w:type="dxa" w:w="2160"/>
          </w:tcPr>
          <w:p>
            <w:r>
              <w:t>Art. 12</w:t>
            </w:r>
          </w:p>
        </w:tc>
        <w:tc>
          <w:tcPr>
            <w:tcW w:type="dxa" w:w="2160"/>
          </w:tcPr>
          <w:p>
            <w:r>
              <w:t>Annex II Nr. 1</w:t>
            </w:r>
          </w:p>
        </w:tc>
        <w:tc>
          <w:tcPr>
            <w:tcW w:type="dxa" w:w="2160"/>
          </w:tcPr>
          <w:p>
            <w:r>
              <w:t>Art.7</w:t>
            </w:r>
          </w:p>
        </w:tc>
        <w:tc>
          <w:tcPr>
            <w:tcW w:type="dxa" w:w="2160"/>
          </w:tcPr>
          <w:p>
            <w:r>
              <w:t>Art. 8</w:t>
            </w:r>
          </w:p>
        </w:tc>
      </w:tr>
      <w:tr>
        <w:tc>
          <w:tcPr>
            <w:tcW w:type="dxa" w:w="2160"/>
          </w:tcPr>
          <w:p>
            <w:r>
              <w:t>Art. 13</w:t>
            </w:r>
          </w:p>
        </w:tc>
        <w:tc>
          <w:tcPr>
            <w:tcW w:type="dxa" w:w="2160"/>
          </w:tcPr>
          <w:p>
            <w:r>
              <w:t>Annex II Nr. 2</w:t>
            </w:r>
          </w:p>
        </w:tc>
        <w:tc>
          <w:tcPr>
            <w:tcW w:type="dxa" w:w="2160"/>
          </w:tcPr>
          <w:p>
            <w:r>
              <w:t>Art.7</w:t>
            </w:r>
          </w:p>
        </w:tc>
        <w:tc>
          <w:tcPr>
            <w:tcW w:type="dxa" w:w="2160"/>
          </w:tcPr>
          <w:p>
            <w:r>
              <w:t>Art. 9</w:t>
            </w:r>
          </w:p>
        </w:tc>
      </w:tr>
      <w:tr>
        <w:tc>
          <w:tcPr>
            <w:tcW w:type="dxa" w:w="2160"/>
          </w:tcPr>
          <w:p>
            <w:r>
              <w:t>Art. 14</w:t>
            </w:r>
          </w:p>
        </w:tc>
        <w:tc>
          <w:tcPr>
            <w:tcW w:type="dxa" w:w="2160"/>
          </w:tcPr>
          <w:p>
            <w:r>
              <w:t>Art. 12</w:t>
            </w:r>
          </w:p>
        </w:tc>
        <w:tc>
          <w:tcPr>
            <w:tcW w:type="dxa" w:w="2160"/>
          </w:tcPr>
          <w:p>
            <w:r>
              <w:t>Art.7</w:t>
            </w:r>
          </w:p>
        </w:tc>
        <w:tc>
          <w:tcPr>
            <w:tcW w:type="dxa" w:w="2160"/>
          </w:tcPr>
          <w:p>
            <w:r>
              <w:t>Art. 10</w:t>
            </w:r>
          </w:p>
        </w:tc>
      </w:tr>
      <w:tr>
        <w:tc>
          <w:tcPr>
            <w:tcW w:type="dxa" w:w="2160"/>
          </w:tcPr>
          <w:p>
            <w:r>
              <w:t>Art. 15</w:t>
            </w:r>
          </w:p>
        </w:tc>
        <w:tc>
          <w:tcPr>
            <w:tcW w:type="dxa" w:w="2160"/>
          </w:tcPr>
          <w:p>
            <w:r>
              <w:t>Annex II Nr. 3</w:t>
            </w:r>
          </w:p>
        </w:tc>
        <w:tc>
          <w:tcPr>
            <w:tcW w:type="dxa" w:w="2160"/>
          </w:tcPr>
          <w:p>
            <w:r>
              <w:t>Art.7</w:t>
            </w:r>
          </w:p>
        </w:tc>
        <w:tc>
          <w:tcPr>
            <w:tcW w:type="dxa" w:w="2160"/>
          </w:tcPr>
          <w:p>
            <w:r>
              <w:t>Art. 11</w:t>
            </w:r>
          </w:p>
        </w:tc>
      </w:tr>
      <w:tr>
        <w:tc>
          <w:tcPr>
            <w:tcW w:type="dxa" w:w="2160"/>
          </w:tcPr>
          <w:p>
            <w:r>
              <w:t>Art. 16</w:t>
            </w:r>
          </w:p>
        </w:tc>
        <w:tc>
          <w:tcPr>
            <w:tcW w:type="dxa" w:w="2160"/>
          </w:tcPr>
          <w:p>
            <w:r>
              <w:t>Annex II Nr. 4</w:t>
            </w:r>
          </w:p>
        </w:tc>
        <w:tc>
          <w:tcPr>
            <w:tcW w:type="dxa" w:w="2160"/>
          </w:tcPr>
          <w:p>
            <w:r>
              <w:t>Art.7</w:t>
            </w:r>
          </w:p>
        </w:tc>
        <w:tc>
          <w:tcPr>
            <w:tcW w:type="dxa" w:w="2160"/>
          </w:tcPr>
          <w:p>
            <w:r>
              <w:t>Art. 12</w:t>
            </w:r>
          </w:p>
        </w:tc>
      </w:tr>
      <w:tr>
        <w:tc>
          <w:tcPr>
            <w:tcW w:type="dxa" w:w="2160"/>
          </w:tcPr>
          <w:p>
            <w:r>
              <w:t>Art. 17</w:t>
            </w:r>
          </w:p>
        </w:tc>
        <w:tc>
          <w:tcPr>
            <w:tcW w:type="dxa" w:w="2160"/>
          </w:tcPr>
          <w:p>
            <w:r>
              <w:t>Annex II Nr. 5</w:t>
            </w:r>
          </w:p>
        </w:tc>
        <w:tc>
          <w:tcPr>
            <w:tcW w:type="dxa" w:w="2160"/>
          </w:tcPr>
          <w:p>
            <w:r>
              <w:t>Art.7</w:t>
            </w:r>
          </w:p>
        </w:tc>
        <w:tc>
          <w:tcPr>
            <w:tcW w:type="dxa" w:w="2160"/>
          </w:tcPr>
          <w:p>
            <w:r>
              <w:t>Art. 13</w:t>
            </w:r>
          </w:p>
        </w:tc>
      </w:tr>
      <w:tr>
        <w:tc>
          <w:tcPr>
            <w:tcW w:type="dxa" w:w="2160"/>
          </w:tcPr>
          <w:p>
            <w:r>
              <w:t>Art. 18</w:t>
            </w:r>
          </w:p>
        </w:tc>
        <w:tc>
          <w:tcPr>
            <w:tcW w:type="dxa" w:w="2160"/>
          </w:tcPr>
          <w:p>
            <w:r>
              <w:t>Annex II Nr. 6</w:t>
            </w:r>
          </w:p>
        </w:tc>
        <w:tc>
          <w:tcPr>
            <w:tcW w:type="dxa" w:w="2160"/>
          </w:tcPr>
          <w:p>
            <w:r>
              <w:t>Art. 7</w:t>
            </w:r>
          </w:p>
        </w:tc>
        <w:tc>
          <w:tcPr>
            <w:tcW w:type="dxa" w:w="2160"/>
          </w:tcPr>
          <w:p>
            <w:r>
              <w:t>Art. 14</w:t>
            </w:r>
          </w:p>
        </w:tc>
      </w:tr>
      <w:tr>
        <w:tc>
          <w:tcPr>
            <w:tcW w:type="dxa" w:w="2160"/>
          </w:tcPr>
          <w:p>
            <w:r>
              <w:t>Art. 19</w:t>
            </w:r>
          </w:p>
        </w:tc>
        <w:tc>
          <w:tcPr>
            <w:tcW w:type="dxa" w:w="2160"/>
          </w:tcPr>
          <w:p>
            <w:r>
              <w:t>Art. 16</w:t>
            </w:r>
          </w:p>
        </w:tc>
        <w:tc>
          <w:tcPr>
            <w:tcW w:type="dxa" w:w="2160"/>
          </w:tcPr>
          <w:p>
            <w:r>
              <w:t>-</w:t>
            </w:r>
          </w:p>
        </w:tc>
        <w:tc>
          <w:tcPr>
            <w:tcW w:type="dxa" w:w="2160"/>
          </w:tcPr>
          <w:p>
            <w:r>
              <w:t>Art. 34</w:t>
            </w:r>
          </w:p>
        </w:tc>
      </w:tr>
      <w:tr>
        <w:tc>
          <w:tcPr>
            <w:tcW w:type="dxa" w:w="2160"/>
          </w:tcPr>
          <w:p>
            <w:r>
              <w:t>Art. 20</w:t>
            </w:r>
          </w:p>
        </w:tc>
        <w:tc>
          <w:tcPr>
            <w:tcW w:type="dxa" w:w="2160"/>
          </w:tcPr>
          <w:p>
            <w:r>
              <w:t>Art. 16</w:t>
            </w:r>
          </w:p>
        </w:tc>
        <w:tc>
          <w:tcPr>
            <w:tcW w:type="dxa" w:w="2160"/>
          </w:tcPr>
          <w:p>
            <w:r>
              <w:t>-</w:t>
            </w:r>
          </w:p>
        </w:tc>
        <w:tc>
          <w:tcPr>
            <w:tcW w:type="dxa" w:w="2160"/>
          </w:tcPr>
          <w:p>
            <w:r>
              <w:t>Art. 35</w:t>
            </w:r>
          </w:p>
        </w:tc>
      </w:tr>
      <w:tr>
        <w:tc>
          <w:tcPr>
            <w:tcW w:type="dxa" w:w="2160"/>
          </w:tcPr>
          <w:p>
            <w:r>
              <w:t>Art. 21</w:t>
            </w:r>
          </w:p>
        </w:tc>
        <w:tc>
          <w:tcPr>
            <w:tcW w:type="dxa" w:w="2160"/>
          </w:tcPr>
          <w:p>
            <w:r>
              <w:t>Art. 26</w:t>
            </w:r>
          </w:p>
        </w:tc>
        <w:tc>
          <w:tcPr>
            <w:tcW w:type="dxa" w:w="2160"/>
          </w:tcPr>
          <w:p>
            <w:r>
              <w:t>Art. 19</w:t>
            </w:r>
          </w:p>
        </w:tc>
        <w:tc>
          <w:tcPr>
            <w:tcW w:type="dxa" w:w="2160"/>
          </w:tcPr>
          <w:p>
            <w:r>
              <w:t>Art. 37</w:t>
            </w:r>
          </w:p>
        </w:tc>
      </w:tr>
      <w:tr>
        <w:tc>
          <w:tcPr>
            <w:tcW w:type="dxa" w:w="2160"/>
          </w:tcPr>
          <w:p>
            <w:r>
              <w:t>Art. 22</w:t>
            </w:r>
          </w:p>
        </w:tc>
        <w:tc>
          <w:tcPr>
            <w:tcW w:type="dxa" w:w="2160"/>
          </w:tcPr>
          <w:p>
            <w:r>
              <w:t>Art. 26 Para. 2</w:t>
            </w:r>
          </w:p>
        </w:tc>
        <w:tc>
          <w:tcPr>
            <w:tcW w:type="dxa" w:w="2160"/>
          </w:tcPr>
          <w:p>
            <w:r>
              <w:t>Art. 19 Para. 2</w:t>
            </w:r>
          </w:p>
        </w:tc>
        <w:tc>
          <w:tcPr>
            <w:tcW w:type="dxa" w:w="2160"/>
          </w:tcPr>
          <w:p>
            <w:r>
              <w:t>Art. 37 Para. 2</w:t>
            </w:r>
          </w:p>
        </w:tc>
      </w:tr>
      <w:tr>
        <w:tc>
          <w:tcPr>
            <w:tcW w:type="dxa" w:w="2160"/>
          </w:tcPr>
          <w:p>
            <w:r>
              <w:t>Art. 23</w:t>
            </w:r>
          </w:p>
        </w:tc>
        <w:tc>
          <w:tcPr>
            <w:tcW w:type="dxa" w:w="2160"/>
          </w:tcPr>
          <w:p>
            <w:r>
              <w:t>Recital 63, Art. 38 Para. 2, 3</w:t>
            </w:r>
          </w:p>
        </w:tc>
        <w:tc>
          <w:tcPr>
            <w:tcW w:type="dxa" w:w="2160"/>
          </w:tcPr>
          <w:p>
            <w:r>
              <w:t>Art. 63</w:t>
            </w:r>
          </w:p>
        </w:tc>
        <w:tc>
          <w:tcPr>
            <w:tcW w:type="dxa" w:w="2160"/>
          </w:tcPr>
          <w:p>
            <w:r>
              <w:t>Art. 79</w:t>
            </w:r>
          </w:p>
        </w:tc>
      </w:tr>
      <w:tr>
        <w:tc>
          <w:tcPr>
            <w:tcW w:type="dxa" w:w="2160"/>
          </w:tcPr>
          <w:p>
            <w:r>
              <w:t>Art. 24</w:t>
            </w:r>
          </w:p>
        </w:tc>
        <w:tc>
          <w:tcPr>
            <w:tcW w:type="dxa" w:w="2160"/>
          </w:tcPr>
          <w:p>
            <w:r>
              <w:t>Art. 42</w:t>
            </w:r>
          </w:p>
        </w:tc>
        <w:tc>
          <w:tcPr>
            <w:tcW w:type="dxa" w:w="2160"/>
          </w:tcPr>
          <w:p>
            <w:r>
              <w:t>Art. 71</w:t>
            </w:r>
          </w:p>
        </w:tc>
        <w:tc>
          <w:tcPr>
            <w:tcW w:type="dxa" w:w="2160"/>
          </w:tcPr>
          <w:p>
            <w:r>
              <w:t>Art. 88</w:t>
            </w:r>
          </w:p>
        </w:tc>
      </w:tr>
      <w:tr>
        <w:tc>
          <w:tcPr>
            <w:tcW w:type="dxa" w:w="2160"/>
          </w:tcPr>
          <w:p>
            <w:r>
              <w:t>Art. 25</w:t>
            </w:r>
          </w:p>
        </w:tc>
        <w:tc>
          <w:tcPr>
            <w:tcW w:type="dxa" w:w="2160"/>
          </w:tcPr>
          <w:p>
            <w:r>
              <w:t>Art. 38 Para. 4, 5</w:t>
            </w:r>
          </w:p>
        </w:tc>
        <w:tc>
          <w:tcPr>
            <w:tcW w:type="dxa" w:w="2160"/>
          </w:tcPr>
          <w:p>
            <w:r>
              <w:t>Art. 57 Para. 1, 2</w:t>
            </w:r>
          </w:p>
        </w:tc>
        <w:tc>
          <w:tcPr>
            <w:tcW w:type="dxa" w:w="2160"/>
          </w:tcPr>
          <w:p>
            <w:r>
              <w:t>Art. 80</w:t>
            </w:r>
          </w:p>
        </w:tc>
      </w:tr>
      <w:tr>
        <w:tc>
          <w:tcPr>
            <w:tcW w:type="dxa" w:w="2160"/>
          </w:tcPr>
          <w:p>
            <w:r>
              <w:t>Art. 26</w:t>
            </w:r>
          </w:p>
        </w:tc>
        <w:tc>
          <w:tcPr>
            <w:tcW w:type="dxa" w:w="2160"/>
          </w:tcPr>
          <w:p>
            <w:r>
              <w:t>Art. 38 Para. 7</w:t>
            </w:r>
          </w:p>
        </w:tc>
        <w:tc>
          <w:tcPr>
            <w:tcW w:type="dxa" w:w="2160"/>
          </w:tcPr>
          <w:p>
            <w:r>
              <w:t>Art. 57 Para. 4</w:t>
            </w:r>
          </w:p>
        </w:tc>
        <w:tc>
          <w:tcPr>
            <w:tcW w:type="dxa" w:w="2160"/>
          </w:tcPr>
          <w:p>
            <w:r>
              <w:t>Art. 80</w:t>
            </w:r>
          </w:p>
        </w:tc>
      </w:tr>
      <w:tr>
        <w:tc>
          <w:tcPr>
            <w:tcW w:type="dxa" w:w="2160"/>
          </w:tcPr>
          <w:p>
            <w:r>
              <w:t>Art. 27</w:t>
            </w:r>
          </w:p>
        </w:tc>
        <w:tc>
          <w:tcPr>
            <w:tcW w:type="dxa" w:w="2160"/>
          </w:tcPr>
          <w:p>
            <w:r>
              <w:t>Art. 41</w:t>
            </w:r>
          </w:p>
        </w:tc>
        <w:tc>
          <w:tcPr>
            <w:tcW w:type="dxa" w:w="2160"/>
          </w:tcPr>
          <w:p>
            <w:r>
              <w:t>Art. 58</w:t>
            </w:r>
          </w:p>
        </w:tc>
        <w:tc>
          <w:tcPr>
            <w:tcW w:type="dxa" w:w="2160"/>
          </w:tcPr>
          <w:p>
            <w:r>
              <w:t>Art. 80 Para. 2</w:t>
            </w:r>
          </w:p>
        </w:tc>
      </w:tr>
      <w:tr>
        <w:tc>
          <w:tcPr>
            <w:tcW w:type="dxa" w:w="2160"/>
          </w:tcPr>
          <w:p>
            <w:r>
              <w:t>Art. 28</w:t>
            </w:r>
          </w:p>
        </w:tc>
        <w:tc>
          <w:tcPr>
            <w:tcW w:type="dxa" w:w="2160"/>
          </w:tcPr>
          <w:p>
            <w:r>
              <w:t>Art. 38 Para. 1, 9</w:t>
            </w:r>
          </w:p>
        </w:tc>
        <w:tc>
          <w:tcPr>
            <w:tcW w:type="dxa" w:w="2160"/>
          </w:tcPr>
          <w:p>
            <w:r>
              <w:t>Art. 60</w:t>
            </w:r>
          </w:p>
        </w:tc>
        <w:tc>
          <w:tcPr>
            <w:tcW w:type="dxa" w:w="2160"/>
          </w:tcPr>
          <w:p>
            <w:r>
              <w:t>Art. 62</w:t>
            </w:r>
          </w:p>
        </w:tc>
      </w:tr>
      <w:tr>
        <w:tc>
          <w:tcPr>
            <w:tcW w:type="dxa" w:w="2160"/>
          </w:tcPr>
          <w:p>
            <w:r>
              <w:t>Art. 29</w:t>
            </w:r>
          </w:p>
        </w:tc>
        <w:tc>
          <w:tcPr>
            <w:tcW w:type="dxa" w:w="2160"/>
          </w:tcPr>
          <w:p>
            <w:r>
              <w:t>-</w:t>
            </w:r>
          </w:p>
        </w:tc>
        <w:tc>
          <w:tcPr>
            <w:tcW w:type="dxa" w:w="2160"/>
          </w:tcPr>
          <w:p>
            <w:r>
              <w:t>-</w:t>
            </w:r>
          </w:p>
        </w:tc>
        <w:tc>
          <w:tcPr>
            <w:tcW w:type="dxa" w:w="2160"/>
          </w:tcPr>
          <w:p>
            <w:r>
              <w:t>-</w:t>
            </w:r>
          </w:p>
        </w:tc>
      </w:tr>
      <w:tr>
        <w:tc>
          <w:tcPr>
            <w:tcW w:type="dxa" w:w="2160"/>
          </w:tcPr>
          <w:p>
            <w:r>
              <w:t>Art. 30</w:t>
            </w:r>
          </w:p>
        </w:tc>
        <w:tc>
          <w:tcPr>
            <w:tcW w:type="dxa" w:w="2160"/>
          </w:tcPr>
          <w:p>
            <w:r>
              <w:t>-</w:t>
            </w:r>
          </w:p>
        </w:tc>
        <w:tc>
          <w:tcPr>
            <w:tcW w:type="dxa" w:w="2160"/>
          </w:tcPr>
          <w:p>
            <w:r>
              <w:t>Art. 40</w:t>
            </w:r>
          </w:p>
        </w:tc>
        <w:tc>
          <w:tcPr>
            <w:tcW w:type="dxa" w:w="2160"/>
          </w:tcPr>
          <w:p>
            <w:r>
              <w:t>Art. 58</w:t>
            </w:r>
          </w:p>
        </w:tc>
      </w:tr>
      <w:tr>
        <w:tc>
          <w:tcPr>
            <w:tcW w:type="dxa" w:w="2160"/>
          </w:tcPr>
          <w:p>
            <w:r>
              <w:t>Art. 31</w:t>
            </w:r>
          </w:p>
        </w:tc>
        <w:tc>
          <w:tcPr>
            <w:tcW w:type="dxa" w:w="2160"/>
          </w:tcPr>
          <w:p>
            <w:r>
              <w:t>-</w:t>
            </w:r>
          </w:p>
        </w:tc>
        <w:tc>
          <w:tcPr>
            <w:tcW w:type="dxa" w:w="2160"/>
          </w:tcPr>
          <w:p>
            <w:r>
              <w:t>Art. 26</w:t>
            </w:r>
          </w:p>
        </w:tc>
        <w:tc>
          <w:tcPr>
            <w:tcW w:type="dxa" w:w="2160"/>
          </w:tcPr>
          <w:p>
            <w:r>
              <w:t>Art. 44</w:t>
            </w:r>
          </w:p>
        </w:tc>
      </w:tr>
      <w:tr>
        <w:tc>
          <w:tcPr>
            <w:tcW w:type="dxa" w:w="2160"/>
          </w:tcPr>
          <w:p>
            <w:r>
              <w:t>Art. 32</w:t>
            </w:r>
          </w:p>
        </w:tc>
        <w:tc>
          <w:tcPr>
            <w:tcW w:type="dxa" w:w="2160"/>
          </w:tcPr>
          <w:p>
            <w:r>
              <w:t>Art. 8 Para. 2, 3</w:t>
            </w:r>
          </w:p>
        </w:tc>
        <w:tc>
          <w:tcPr>
            <w:tcW w:type="dxa" w:w="2160"/>
          </w:tcPr>
          <w:p>
            <w:r>
              <w:t>Art. 5</w:t>
            </w:r>
          </w:p>
        </w:tc>
        <w:tc>
          <w:tcPr>
            <w:tcW w:type="dxa" w:w="2160"/>
          </w:tcPr>
          <w:p>
            <w:r>
              <w:t>Art. 16</w:t>
            </w:r>
          </w:p>
        </w:tc>
      </w:tr>
      <w:tr>
        <w:tc>
          <w:tcPr>
            <w:tcW w:type="dxa" w:w="2160"/>
          </w:tcPr>
          <w:p>
            <w:r>
              <w:t>Art. 33</w:t>
            </w:r>
          </w:p>
        </w:tc>
        <w:tc>
          <w:tcPr>
            <w:tcW w:type="dxa" w:w="2160"/>
          </w:tcPr>
          <w:p>
            <w:r>
              <w:t>-</w:t>
            </w:r>
          </w:p>
        </w:tc>
        <w:tc>
          <w:tcPr>
            <w:tcW w:type="dxa" w:w="2160"/>
          </w:tcPr>
          <w:p>
            <w:r>
              <w:t>Art. 26 Para. 3 to 6</w:t>
            </w:r>
          </w:p>
        </w:tc>
        <w:tc>
          <w:tcPr>
            <w:tcW w:type="dxa" w:w="2160"/>
          </w:tcPr>
          <w:p>
            <w:r>
              <w:t>-</w:t>
            </w:r>
          </w:p>
        </w:tc>
      </w:tr>
      <w:tr>
        <w:tc>
          <w:tcPr>
            <w:tcW w:type="dxa" w:w="2160"/>
          </w:tcPr>
          <w:p>
            <w:r>
              <w:t>Art. 34</w:t>
            </w:r>
          </w:p>
        </w:tc>
        <w:tc>
          <w:tcPr>
            <w:tcW w:type="dxa" w:w="2160"/>
          </w:tcPr>
          <w:p>
            <w:r>
              <w:t>-</w:t>
            </w:r>
          </w:p>
        </w:tc>
        <w:tc>
          <w:tcPr>
            <w:tcW w:type="dxa" w:w="2160"/>
          </w:tcPr>
          <w:p>
            <w:r>
              <w:t>Art. 29, 32</w:t>
            </w:r>
          </w:p>
        </w:tc>
        <w:tc>
          <w:tcPr>
            <w:tcW w:type="dxa" w:w="2160"/>
          </w:tcPr>
          <w:p>
            <w:r>
              <w:t>Art. 45</w:t>
            </w:r>
          </w:p>
        </w:tc>
      </w:tr>
      <w:tr>
        <w:tc>
          <w:tcPr>
            <w:tcW w:type="dxa" w:w="2160"/>
          </w:tcPr>
          <w:p>
            <w:r>
              <w:t>Art. 35</w:t>
            </w:r>
          </w:p>
        </w:tc>
        <w:tc>
          <w:tcPr>
            <w:tcW w:type="dxa" w:w="2160"/>
          </w:tcPr>
          <w:p>
            <w:r>
              <w:t>Art. 37 Para. 1</w:t>
            </w:r>
          </w:p>
        </w:tc>
        <w:tc>
          <w:tcPr>
            <w:tcW w:type="dxa" w:w="2160"/>
          </w:tcPr>
          <w:p>
            <w:r>
              <w:t>Art. 67 Para. 1</w:t>
            </w:r>
          </w:p>
        </w:tc>
        <w:tc>
          <w:tcPr>
            <w:tcW w:type="dxa" w:w="2160"/>
          </w:tcPr>
          <w:p>
            <w:r>
              <w:t>Art. 82</w:t>
            </w:r>
          </w:p>
        </w:tc>
      </w:tr>
      <w:tr>
        <w:tc>
          <w:tcPr>
            <w:tcW w:type="dxa" w:w="2160"/>
          </w:tcPr>
          <w:p>
            <w:r>
              <w:t>Art. 36</w:t>
            </w:r>
          </w:p>
        </w:tc>
        <w:tc>
          <w:tcPr>
            <w:tcW w:type="dxa" w:w="2160"/>
          </w:tcPr>
          <w:p>
            <w:r>
              <w:t>-</w:t>
            </w:r>
          </w:p>
        </w:tc>
        <w:tc>
          <w:tcPr>
            <w:tcW w:type="dxa" w:w="2160"/>
          </w:tcPr>
          <w:p>
            <w:r>
              <w:t>-</w:t>
            </w:r>
          </w:p>
        </w:tc>
        <w:tc>
          <w:tcPr>
            <w:tcW w:type="dxa" w:w="2160"/>
          </w:tcPr>
          <w:p>
            <w:r>
              <w:t>-</w:t>
            </w:r>
          </w:p>
        </w:tc>
      </w:tr>
      <w:tr>
        <w:tc>
          <w:tcPr>
            <w:tcW w:type="dxa" w:w="2160"/>
          </w:tcPr>
          <w:p>
            <w:r>
              <w:t>Art. 37</w:t>
            </w:r>
          </w:p>
        </w:tc>
        <w:tc>
          <w:tcPr>
            <w:tcW w:type="dxa" w:w="2160"/>
          </w:tcPr>
          <w:p>
            <w:r>
              <w:t>-</w:t>
            </w:r>
          </w:p>
        </w:tc>
        <w:tc>
          <w:tcPr>
            <w:tcW w:type="dxa" w:w="2160"/>
          </w:tcPr>
          <w:p>
            <w:r>
              <w:t>-</w:t>
            </w:r>
          </w:p>
        </w:tc>
        <w:tc>
          <w:tcPr>
            <w:tcW w:type="dxa" w:w="2160"/>
          </w:tcPr>
          <w:p>
            <w:r>
              <w:t>-</w:t>
            </w:r>
          </w:p>
        </w:tc>
      </w:tr>
      <w:tr>
        <w:tc>
          <w:tcPr>
            <w:tcW w:type="dxa" w:w="2160"/>
          </w:tcPr>
          <w:p>
            <w:r>
              <w:t>Art. 38</w:t>
            </w:r>
          </w:p>
        </w:tc>
        <w:tc>
          <w:tcPr>
            <w:tcW w:type="dxa" w:w="2160"/>
          </w:tcPr>
          <w:p>
            <w:r>
              <w:t>-</w:t>
            </w:r>
          </w:p>
        </w:tc>
        <w:tc>
          <w:tcPr>
            <w:tcW w:type="dxa" w:w="2160"/>
          </w:tcPr>
          <w:p>
            <w:r>
              <w:t>-</w:t>
            </w:r>
          </w:p>
        </w:tc>
        <w:tc>
          <w:tcPr>
            <w:tcW w:type="dxa" w:w="2160"/>
          </w:tcPr>
          <w:p>
            <w:r>
              <w:t>-</w:t>
            </w:r>
          </w:p>
        </w:tc>
      </w:tr>
      <w:tr>
        <w:tc>
          <w:tcPr>
            <w:tcW w:type="dxa" w:w="2160"/>
          </w:tcPr>
          <w:p>
            <w:r>
              <w:t>Art. 39</w:t>
            </w:r>
          </w:p>
        </w:tc>
        <w:tc>
          <w:tcPr>
            <w:tcW w:type="dxa" w:w="2160"/>
          </w:tcPr>
          <w:p>
            <w:r>
              <w:t>-</w:t>
            </w:r>
          </w:p>
        </w:tc>
        <w:tc>
          <w:tcPr>
            <w:tcW w:type="dxa" w:w="2160"/>
          </w:tcPr>
          <w:p>
            <w:r>
              <w:t>-</w:t>
            </w:r>
          </w:p>
        </w:tc>
        <w:tc>
          <w:tcPr>
            <w:tcW w:type="dxa" w:w="2160"/>
          </w:tcPr>
          <w:p>
            <w:r>
              <w:t>-</w:t>
            </w:r>
          </w:p>
        </w:tc>
      </w:tr>
      <w:tr>
        <w:tc>
          <w:tcPr>
            <w:tcW w:type="dxa" w:w="2160"/>
          </w:tcPr>
          <w:p>
            <w:r>
              <w:t>Art. 40</w:t>
            </w:r>
          </w:p>
        </w:tc>
        <w:tc>
          <w:tcPr>
            <w:tcW w:type="dxa" w:w="2160"/>
          </w:tcPr>
          <w:p>
            <w:r>
              <w:t>-</w:t>
            </w:r>
          </w:p>
        </w:tc>
        <w:tc>
          <w:tcPr>
            <w:tcW w:type="dxa" w:w="2160"/>
          </w:tcPr>
          <w:p>
            <w:r>
              <w:t>-</w:t>
            </w:r>
          </w:p>
        </w:tc>
        <w:tc>
          <w:tcPr>
            <w:tcW w:type="dxa" w:w="2160"/>
          </w:tcPr>
          <w:p>
            <w:r>
              <w:t>-</w:t>
            </w:r>
          </w:p>
        </w:tc>
      </w:tr>
      <w:tr>
        <w:tc>
          <w:tcPr>
            <w:tcW w:type="dxa" w:w="2160"/>
          </w:tcPr>
          <w:p>
            <w:r>
              <w:t>Art. 41</w:t>
            </w:r>
          </w:p>
        </w:tc>
        <w:tc>
          <w:tcPr>
            <w:tcW w:type="dxa" w:w="2160"/>
          </w:tcPr>
          <w:p>
            <w:r>
              <w:t>-</w:t>
            </w:r>
          </w:p>
        </w:tc>
        <w:tc>
          <w:tcPr>
            <w:tcW w:type="dxa" w:w="2160"/>
          </w:tcPr>
          <w:p>
            <w:r>
              <w:t>Art. 31 Para. 1, 4</w:t>
            </w:r>
          </w:p>
        </w:tc>
        <w:tc>
          <w:tcPr>
            <w:tcW w:type="dxa" w:w="2160"/>
          </w:tcPr>
          <w:p>
            <w:r>
              <w:t>Art. 49</w:t>
            </w:r>
          </w:p>
        </w:tc>
      </w:tr>
      <w:tr>
        <w:tc>
          <w:tcPr>
            <w:tcW w:type="dxa" w:w="2160"/>
          </w:tcPr>
          <w:p>
            <w:r>
              <w:t>Art. 42</w:t>
            </w:r>
          </w:p>
        </w:tc>
        <w:tc>
          <w:tcPr>
            <w:tcW w:type="dxa" w:w="2160"/>
          </w:tcPr>
          <w:p>
            <w:r>
              <w:t>-</w:t>
            </w:r>
          </w:p>
        </w:tc>
        <w:tc>
          <w:tcPr>
            <w:tcW w:type="dxa" w:w="2160"/>
          </w:tcPr>
          <w:p>
            <w:r>
              <w:t>Art. 31</w:t>
            </w:r>
          </w:p>
        </w:tc>
        <w:tc>
          <w:tcPr>
            <w:tcW w:type="dxa" w:w="2160"/>
          </w:tcPr>
          <w:p>
            <w:r>
              <w:t>Art. 49</w:t>
            </w:r>
          </w:p>
        </w:tc>
      </w:tr>
      <w:tr>
        <w:tc>
          <w:tcPr>
            <w:tcW w:type="dxa" w:w="2160"/>
          </w:tcPr>
          <w:p>
            <w:r>
              <w:t>Art. 43</w:t>
            </w:r>
          </w:p>
        </w:tc>
        <w:tc>
          <w:tcPr>
            <w:tcW w:type="dxa" w:w="2160"/>
          </w:tcPr>
          <w:p>
            <w:r>
              <w:t>-</w:t>
            </w:r>
          </w:p>
        </w:tc>
        <w:tc>
          <w:tcPr>
            <w:tcW w:type="dxa" w:w="2160"/>
          </w:tcPr>
          <w:p>
            <w:r>
              <w:t>Art. 31 Para. 2</w:t>
            </w:r>
          </w:p>
        </w:tc>
        <w:tc>
          <w:tcPr>
            <w:tcW w:type="dxa" w:w="2160"/>
          </w:tcPr>
          <w:p>
            <w:r>
              <w:t>Art. 49</w:t>
            </w:r>
          </w:p>
        </w:tc>
      </w:tr>
      <w:tr>
        <w:tc>
          <w:tcPr>
            <w:tcW w:type="dxa" w:w="2160"/>
          </w:tcPr>
          <w:p>
            <w:r>
              <w:t>Art. 44</w:t>
            </w:r>
          </w:p>
        </w:tc>
        <w:tc>
          <w:tcPr>
            <w:tcW w:type="dxa" w:w="2160"/>
          </w:tcPr>
          <w:p>
            <w:r>
              <w:t>-</w:t>
            </w:r>
          </w:p>
        </w:tc>
        <w:tc>
          <w:tcPr>
            <w:tcW w:type="dxa" w:w="2160"/>
          </w:tcPr>
          <w:p>
            <w:r>
              <w:t>Art. 31 Para. 2</w:t>
            </w:r>
          </w:p>
        </w:tc>
        <w:tc>
          <w:tcPr>
            <w:tcW w:type="dxa" w:w="2160"/>
          </w:tcPr>
          <w:p>
            <w:r>
              <w:t>Art. 49</w:t>
            </w:r>
          </w:p>
        </w:tc>
      </w:tr>
      <w:tr>
        <w:tc>
          <w:tcPr>
            <w:tcW w:type="dxa" w:w="2160"/>
          </w:tcPr>
          <w:p>
            <w:r>
              <w:t>Art. 45</w:t>
            </w:r>
          </w:p>
        </w:tc>
        <w:tc>
          <w:tcPr>
            <w:tcW w:type="dxa" w:w="2160"/>
          </w:tcPr>
          <w:p>
            <w:r>
              <w:t>-</w:t>
            </w:r>
          </w:p>
        </w:tc>
        <w:tc>
          <w:tcPr>
            <w:tcW w:type="dxa" w:w="2160"/>
          </w:tcPr>
          <w:p>
            <w:r>
              <w:t>Art. 31</w:t>
            </w:r>
          </w:p>
        </w:tc>
        <w:tc>
          <w:tcPr>
            <w:tcW w:type="dxa" w:w="2160"/>
          </w:tcPr>
          <w:p>
            <w:r>
              <w:t>Art. 49</w:t>
            </w:r>
          </w:p>
        </w:tc>
      </w:tr>
      <w:tr>
        <w:tc>
          <w:tcPr>
            <w:tcW w:type="dxa" w:w="2160"/>
          </w:tcPr>
          <w:p>
            <w:r>
              <w:t>Art. 46</w:t>
            </w:r>
          </w:p>
        </w:tc>
        <w:tc>
          <w:tcPr>
            <w:tcW w:type="dxa" w:w="2160"/>
          </w:tcPr>
          <w:p>
            <w:r>
              <w:t>-</w:t>
            </w:r>
          </w:p>
        </w:tc>
        <w:tc>
          <w:tcPr>
            <w:tcW w:type="dxa" w:w="2160"/>
          </w:tcPr>
          <w:p>
            <w:r>
              <w:t>Art. 32</w:t>
            </w:r>
          </w:p>
        </w:tc>
        <w:tc>
          <w:tcPr>
            <w:tcW w:type="dxa" w:w="2160"/>
          </w:tcPr>
          <w:p>
            <w:r>
              <w:t>Art. 50</w:t>
            </w:r>
          </w:p>
        </w:tc>
      </w:tr>
      <w:tr>
        <w:tc>
          <w:tcPr>
            <w:tcW w:type="dxa" w:w="2160"/>
          </w:tcPr>
          <w:p>
            <w:r>
              <w:t>Art. 47</w:t>
            </w:r>
          </w:p>
        </w:tc>
        <w:tc>
          <w:tcPr>
            <w:tcW w:type="dxa" w:w="2160"/>
          </w:tcPr>
          <w:p>
            <w:r>
              <w:t>-</w:t>
            </w:r>
          </w:p>
        </w:tc>
        <w:tc>
          <w:tcPr>
            <w:tcW w:type="dxa" w:w="2160"/>
          </w:tcPr>
          <w:p>
            <w:r>
              <w:t>Art. 32</w:t>
            </w:r>
          </w:p>
        </w:tc>
        <w:tc>
          <w:tcPr>
            <w:tcW w:type="dxa" w:w="2160"/>
          </w:tcPr>
          <w:p>
            <w:r>
              <w:t>Art. 50</w:t>
            </w:r>
          </w:p>
        </w:tc>
      </w:tr>
      <w:tr>
        <w:tc>
          <w:tcPr>
            <w:tcW w:type="dxa" w:w="2160"/>
          </w:tcPr>
          <w:p>
            <w:r>
              <w:t>Art. 48</w:t>
            </w:r>
          </w:p>
        </w:tc>
        <w:tc>
          <w:tcPr>
            <w:tcW w:type="dxa" w:w="2160"/>
          </w:tcPr>
          <w:p>
            <w:r>
              <w:t>-</w:t>
            </w:r>
          </w:p>
        </w:tc>
        <w:tc>
          <w:tcPr>
            <w:tcW w:type="dxa" w:w="2160"/>
          </w:tcPr>
          <w:p>
            <w:r>
              <w:t>Art. 32 (c)</w:t>
            </w:r>
          </w:p>
        </w:tc>
        <w:tc>
          <w:tcPr>
            <w:tcW w:type="dxa" w:w="2160"/>
          </w:tcPr>
          <w:p>
            <w:r>
              <w:t>Art. 50 (d)</w:t>
            </w:r>
          </w:p>
        </w:tc>
      </w:tr>
      <w:tr>
        <w:tc>
          <w:tcPr>
            <w:tcW w:type="dxa" w:w="2160"/>
          </w:tcPr>
          <w:p>
            <w:r>
              <w:t>Art. 49</w:t>
            </w:r>
          </w:p>
        </w:tc>
        <w:tc>
          <w:tcPr>
            <w:tcW w:type="dxa" w:w="2160"/>
          </w:tcPr>
          <w:p>
            <w:r>
              <w:t>-</w:t>
            </w:r>
          </w:p>
        </w:tc>
        <w:tc>
          <w:tcPr>
            <w:tcW w:type="dxa" w:w="2160"/>
          </w:tcPr>
          <w:p>
            <w:r>
              <w:t>Annex XII Part II (f)</w:t>
            </w:r>
          </w:p>
        </w:tc>
        <w:tc>
          <w:tcPr>
            <w:tcW w:type="dxa" w:w="2160"/>
          </w:tcPr>
          <w:p>
            <w:r>
              <w:t>Art. 77</w:t>
            </w:r>
          </w:p>
        </w:tc>
      </w:tr>
      <w:tr>
        <w:tc>
          <w:tcPr>
            <w:tcW w:type="dxa" w:w="2160"/>
          </w:tcPr>
          <w:p>
            <w:r>
              <w:t>Art. 50</w:t>
            </w:r>
          </w:p>
        </w:tc>
        <w:tc>
          <w:tcPr>
            <w:tcW w:type="dxa" w:w="2160"/>
          </w:tcPr>
          <w:p>
            <w:r>
              <w:t>Recital 55, Art. 30 Para. 3</w:t>
            </w:r>
          </w:p>
        </w:tc>
        <w:tc>
          <w:tcPr>
            <w:tcW w:type="dxa" w:w="2160"/>
          </w:tcPr>
          <w:p>
            <w:r>
              <w:t>Recital 37, Art. 68 Para. 1</w:t>
            </w:r>
          </w:p>
        </w:tc>
        <w:tc>
          <w:tcPr>
            <w:tcW w:type="dxa" w:w="2160"/>
          </w:tcPr>
          <w:p>
            <w:r>
              <w:t>Art. 36 Para. 2</w:t>
            </w:r>
          </w:p>
        </w:tc>
      </w:tr>
      <w:tr>
        <w:tc>
          <w:tcPr>
            <w:tcW w:type="dxa" w:w="2160"/>
          </w:tcPr>
          <w:p>
            <w:r>
              <w:t>Art. 51</w:t>
            </w:r>
          </w:p>
        </w:tc>
        <w:tc>
          <w:tcPr>
            <w:tcW w:type="dxa" w:w="2160"/>
          </w:tcPr>
          <w:p>
            <w:r>
              <w:t>-</w:t>
            </w:r>
          </w:p>
        </w:tc>
        <w:tc>
          <w:tcPr>
            <w:tcW w:type="dxa" w:w="2160"/>
          </w:tcPr>
          <w:p>
            <w:r>
              <w:t>-</w:t>
            </w:r>
          </w:p>
        </w:tc>
        <w:tc>
          <w:tcPr>
            <w:tcW w:type="dxa" w:w="2160"/>
          </w:tcPr>
          <w:p>
            <w:r>
              <w:t>-</w:t>
            </w:r>
          </w:p>
        </w:tc>
      </w:tr>
      <w:tr>
        <w:tc>
          <w:tcPr>
            <w:tcW w:type="dxa" w:w="2160"/>
          </w:tcPr>
          <w:p>
            <w:r>
              <w:t>Art. 52</w:t>
            </w:r>
          </w:p>
        </w:tc>
        <w:tc>
          <w:tcPr>
            <w:tcW w:type="dxa" w:w="2160"/>
          </w:tcPr>
          <w:p>
            <w:r>
              <w:t>-</w:t>
            </w:r>
          </w:p>
        </w:tc>
        <w:tc>
          <w:tcPr>
            <w:tcW w:type="dxa" w:w="2160"/>
          </w:tcPr>
          <w:p>
            <w:r>
              <w:t>Recital 97, Art. 68 Para 1 (a)(ii)</w:t>
            </w:r>
          </w:p>
        </w:tc>
        <w:tc>
          <w:tcPr>
            <w:tcW w:type="dxa" w:w="2160"/>
          </w:tcPr>
          <w:p>
            <w:r>
              <w:t>-</w:t>
            </w:r>
          </w:p>
        </w:tc>
      </w:tr>
      <w:tr>
        <w:tc>
          <w:tcPr>
            <w:tcW w:type="dxa" w:w="2160"/>
          </w:tcPr>
          <w:p>
            <w:r>
              <w:t>Art. 53</w:t>
            </w:r>
          </w:p>
        </w:tc>
        <w:tc>
          <w:tcPr>
            <w:tcW w:type="dxa" w:w="2160"/>
          </w:tcPr>
          <w:p>
            <w:r>
              <w:t>-</w:t>
            </w:r>
          </w:p>
        </w:tc>
        <w:tc>
          <w:tcPr>
            <w:tcW w:type="dxa" w:w="2160"/>
          </w:tcPr>
          <w:p>
            <w:r>
              <w:t>-</w:t>
            </w:r>
          </w:p>
        </w:tc>
        <w:tc>
          <w:tcPr>
            <w:tcW w:type="dxa" w:w="2160"/>
          </w:tcPr>
          <w:p>
            <w:r>
              <w:t>-</w:t>
            </w:r>
          </w:p>
        </w:tc>
      </w:tr>
      <w:tr>
        <w:tc>
          <w:tcPr>
            <w:tcW w:type="dxa" w:w="2160"/>
          </w:tcPr>
          <w:p>
            <w:r>
              <w:t>Art. 54</w:t>
            </w:r>
          </w:p>
        </w:tc>
        <w:tc>
          <w:tcPr>
            <w:tcW w:type="dxa" w:w="2160"/>
          </w:tcPr>
          <w:p>
            <w:r>
              <w:t>-</w:t>
            </w:r>
          </w:p>
        </w:tc>
        <w:tc>
          <w:tcPr>
            <w:tcW w:type="dxa" w:w="2160"/>
          </w:tcPr>
          <w:p>
            <w:r>
              <w:t>Recital 97</w:t>
            </w:r>
          </w:p>
        </w:tc>
        <w:tc>
          <w:tcPr>
            <w:tcW w:type="dxa" w:w="2160"/>
          </w:tcPr>
          <w:p>
            <w:r>
              <w:t>Art. 36 Para. 2</w:t>
            </w:r>
          </w:p>
        </w:tc>
      </w:tr>
      <w:tr>
        <w:tc>
          <w:tcPr>
            <w:tcW w:type="dxa" w:w="2160"/>
          </w:tcPr>
          <w:p>
            <w:r>
              <w:t>Art. 55</w:t>
            </w:r>
          </w:p>
        </w:tc>
        <w:tc>
          <w:tcPr>
            <w:tcW w:type="dxa" w:w="2160"/>
          </w:tcPr>
          <w:p>
            <w:r>
              <w:t>Recital 55, Art. 19</w:t>
            </w:r>
          </w:p>
        </w:tc>
        <w:tc>
          <w:tcPr>
            <w:tcW w:type="dxa" w:w="2160"/>
          </w:tcPr>
          <w:p>
            <w:r>
              <w:t>Recital 37</w:t>
            </w:r>
          </w:p>
        </w:tc>
        <w:tc>
          <w:tcPr>
            <w:tcW w:type="dxa" w:w="2160"/>
          </w:tcPr>
          <w:p>
            <w:r>
              <w:t>Art. 36 Para.2</w:t>
            </w:r>
          </w:p>
        </w:tc>
      </w:tr>
      <w:tr>
        <w:tc>
          <w:tcPr>
            <w:tcW w:type="dxa" w:w="2160"/>
          </w:tcPr>
          <w:p>
            <w:r>
              <w:t>Art. 56</w:t>
            </w:r>
          </w:p>
        </w:tc>
        <w:tc>
          <w:tcPr>
            <w:tcW w:type="dxa" w:w="2160"/>
          </w:tcPr>
          <w:p>
            <w:r>
              <w:t>Recital 66, Art. 36 Sub. 1</w:t>
            </w:r>
          </w:p>
        </w:tc>
        <w:tc>
          <w:tcPr>
            <w:tcW w:type="dxa" w:w="2160"/>
          </w:tcPr>
          <w:p>
            <w:r>
              <w:t>Recital 53</w:t>
            </w:r>
          </w:p>
        </w:tc>
        <w:tc>
          <w:tcPr>
            <w:tcW w:type="dxa" w:w="2160"/>
          </w:tcPr>
          <w:p>
            <w:r>
              <w:t>Art. 93 Para. 2</w:t>
            </w:r>
          </w:p>
        </w:tc>
      </w:tr>
      <w:tr>
        <w:tc>
          <w:tcPr>
            <w:tcW w:type="dxa" w:w="2160"/>
          </w:tcPr>
          <w:p>
            <w:r>
              <w:t>Art. 57</w:t>
            </w:r>
          </w:p>
        </w:tc>
        <w:tc>
          <w:tcPr>
            <w:tcW w:type="dxa" w:w="2160"/>
          </w:tcPr>
          <w:p>
            <w:r>
              <w:t>Art. 24</w:t>
            </w:r>
          </w:p>
        </w:tc>
        <w:tc>
          <w:tcPr>
            <w:tcW w:type="dxa" w:w="2160"/>
          </w:tcPr>
          <w:p>
            <w:r>
              <w:t>Art. 20</w:t>
            </w:r>
          </w:p>
        </w:tc>
        <w:tc>
          <w:tcPr>
            <w:tcW w:type="dxa" w:w="2160"/>
          </w:tcPr>
          <w:p>
            <w:r>
              <w:t>Art. 38</w:t>
            </w:r>
          </w:p>
        </w:tc>
      </w:tr>
      <w:tr>
        <w:tc>
          <w:tcPr>
            <w:tcW w:type="dxa" w:w="2160"/>
          </w:tcPr>
          <w:p>
            <w:r>
              <w:t>Art. 58</w:t>
            </w:r>
          </w:p>
        </w:tc>
        <w:tc>
          <w:tcPr>
            <w:tcW w:type="dxa" w:w="2160"/>
          </w:tcPr>
          <w:p>
            <w:r>
              <w:t>Art. 19, Annex IV</w:t>
            </w:r>
          </w:p>
        </w:tc>
        <w:tc>
          <w:tcPr>
            <w:tcW w:type="dxa" w:w="2160"/>
          </w:tcPr>
          <w:p>
            <w:r>
              <w:t>Art. 74</w:t>
            </w:r>
          </w:p>
        </w:tc>
        <w:tc>
          <w:tcPr>
            <w:tcW w:type="dxa" w:w="2160"/>
          </w:tcPr>
          <w:p>
            <w:r>
              <w:t>Art. 91</w:t>
            </w:r>
          </w:p>
        </w:tc>
      </w:tr>
      <w:tr>
        <w:tc>
          <w:tcPr>
            <w:tcW w:type="dxa" w:w="2160"/>
          </w:tcPr>
          <w:p>
            <w:r>
              <w:t>Art. 59</w:t>
            </w:r>
          </w:p>
        </w:tc>
        <w:tc>
          <w:tcPr>
            <w:tcW w:type="dxa" w:w="2160"/>
          </w:tcPr>
          <w:p>
            <w:r>
              <w:t>-</w:t>
            </w:r>
          </w:p>
        </w:tc>
        <w:tc>
          <w:tcPr>
            <w:tcW w:type="dxa" w:w="2160"/>
          </w:tcPr>
          <w:p>
            <w:r>
              <w:t>Art. 31</w:t>
            </w:r>
          </w:p>
        </w:tc>
        <w:tc>
          <w:tcPr>
            <w:tcW w:type="dxa" w:w="2160"/>
          </w:tcPr>
          <w:p>
            <w:r>
              <w:t>Art. 49 Para. 1</w:t>
            </w:r>
          </w:p>
        </w:tc>
      </w:tr>
      <w:tr>
        <w:tc>
          <w:tcPr>
            <w:tcW w:type="dxa" w:w="2160"/>
          </w:tcPr>
          <w:p>
            <w:r>
              <w:t>Art. 60</w:t>
            </w:r>
          </w:p>
        </w:tc>
        <w:tc>
          <w:tcPr>
            <w:tcW w:type="dxa" w:w="2160"/>
          </w:tcPr>
          <w:p>
            <w:r>
              <w:t>-</w:t>
            </w:r>
          </w:p>
        </w:tc>
        <w:tc>
          <w:tcPr>
            <w:tcW w:type="dxa" w:w="2160"/>
          </w:tcPr>
          <w:p>
            <w:r>
              <w:t>Art.2 Para.1 (22)</w:t>
            </w:r>
          </w:p>
        </w:tc>
        <w:tc>
          <w:tcPr>
            <w:tcW w:type="dxa" w:w="2160"/>
          </w:tcPr>
          <w:p>
            <w:r>
              <w:t>Art. 49 Para. 2</w:t>
            </w:r>
          </w:p>
        </w:tc>
      </w:tr>
      <w:tr>
        <w:tc>
          <w:tcPr>
            <w:tcW w:type="dxa" w:w="2160"/>
          </w:tcPr>
          <w:p>
            <w:r>
              <w:t>Art. 61</w:t>
            </w:r>
          </w:p>
        </w:tc>
        <w:tc>
          <w:tcPr>
            <w:tcW w:type="dxa" w:w="2160"/>
          </w:tcPr>
          <w:p>
            <w:r>
              <w:t>-</w:t>
            </w:r>
          </w:p>
        </w:tc>
        <w:tc>
          <w:tcPr>
            <w:tcW w:type="dxa" w:w="2160"/>
          </w:tcPr>
          <w:p>
            <w:r>
              <w:t>Recital 47</w:t>
            </w:r>
          </w:p>
        </w:tc>
        <w:tc>
          <w:tcPr>
            <w:tcW w:type="dxa" w:w="2160"/>
          </w:tcPr>
          <w:p>
            <w:r/>
          </w:p>
        </w:tc>
      </w:tr>
      <w:tr>
        <w:tc>
          <w:tcPr>
            <w:tcW w:type="dxa" w:w="2160"/>
          </w:tcPr>
          <w:p>
            <w:r>
              <w:t>Art. 62</w:t>
            </w:r>
          </w:p>
        </w:tc>
        <w:tc>
          <w:tcPr>
            <w:tcW w:type="dxa" w:w="2160"/>
          </w:tcPr>
          <w:p>
            <w:r>
              <w:t>-</w:t>
            </w:r>
          </w:p>
        </w:tc>
        <w:tc>
          <w:tcPr>
            <w:tcW w:type="dxa" w:w="2160"/>
          </w:tcPr>
          <w:p>
            <w:r>
              <w:t>Art. 31 Para. 6</w:t>
            </w:r>
          </w:p>
        </w:tc>
        <w:tc>
          <w:tcPr>
            <w:tcW w:type="dxa" w:w="2160"/>
          </w:tcPr>
          <w:p>
            <w:r>
              <w:t>Art. 49 Para. 6</w:t>
            </w:r>
          </w:p>
        </w:tc>
      </w:tr>
      <w:tr>
        <w:tc>
          <w:tcPr>
            <w:tcW w:type="dxa" w:w="2160"/>
          </w:tcPr>
          <w:p>
            <w:r>
              <w:t>Art. 63</w:t>
            </w:r>
          </w:p>
        </w:tc>
        <w:tc>
          <w:tcPr>
            <w:tcW w:type="dxa" w:w="2160"/>
          </w:tcPr>
          <w:p>
            <w:r>
              <w:t>-</w:t>
            </w:r>
          </w:p>
        </w:tc>
        <w:tc>
          <w:tcPr>
            <w:tcW w:type="dxa" w:w="2160"/>
          </w:tcPr>
          <w:p>
            <w:r>
              <w:t>Art. 31 Para. 6, Sub. 2</w:t>
            </w:r>
          </w:p>
        </w:tc>
        <w:tc>
          <w:tcPr>
            <w:tcW w:type="dxa" w:w="2160"/>
          </w:tcPr>
          <w:p>
            <w:r>
              <w:t>-</w:t>
            </w:r>
          </w:p>
        </w:tc>
      </w:tr>
      <w:tr>
        <w:tc>
          <w:tcPr>
            <w:tcW w:type="dxa" w:w="2160"/>
          </w:tcPr>
          <w:p>
            <w:r>
              <w:t>Art. 64</w:t>
            </w:r>
          </w:p>
        </w:tc>
        <w:tc>
          <w:tcPr>
            <w:tcW w:type="dxa" w:w="2160"/>
          </w:tcPr>
          <w:p>
            <w:r>
              <w:t>-</w:t>
            </w:r>
          </w:p>
        </w:tc>
        <w:tc>
          <w:tcPr>
            <w:tcW w:type="dxa" w:w="2160"/>
          </w:tcPr>
          <w:p>
            <w:r>
              <w:t>-</w:t>
            </w:r>
          </w:p>
        </w:tc>
        <w:tc>
          <w:tcPr>
            <w:tcW w:type="dxa" w:w="2160"/>
          </w:tcPr>
          <w:p>
            <w:r>
              <w:t>-</w:t>
            </w:r>
          </w:p>
        </w:tc>
      </w:tr>
      <w:tr>
        <w:tc>
          <w:tcPr>
            <w:tcW w:type="dxa" w:w="2160"/>
          </w:tcPr>
          <w:p>
            <w:r>
              <w:t>Art. 65</w:t>
            </w:r>
          </w:p>
        </w:tc>
        <w:tc>
          <w:tcPr>
            <w:tcW w:type="dxa" w:w="2160"/>
          </w:tcPr>
          <w:p>
            <w:r>
              <w:t>-</w:t>
            </w:r>
          </w:p>
        </w:tc>
        <w:tc>
          <w:tcPr>
            <w:tcW w:type="dxa" w:w="2160"/>
          </w:tcPr>
          <w:p>
            <w:r>
              <w:t>-</w:t>
            </w:r>
          </w:p>
        </w:tc>
        <w:tc>
          <w:tcPr>
            <w:tcW w:type="dxa" w:w="2160"/>
          </w:tcPr>
          <w:p>
            <w:r>
              <w:t>-</w:t>
            </w:r>
          </w:p>
        </w:tc>
      </w:tr>
      <w:tr>
        <w:tc>
          <w:tcPr>
            <w:tcW w:type="dxa" w:w="2160"/>
          </w:tcPr>
          <w:p>
            <w:r>
              <w:t>Art. 66</w:t>
            </w:r>
          </w:p>
        </w:tc>
        <w:tc>
          <w:tcPr>
            <w:tcW w:type="dxa" w:w="2160"/>
          </w:tcPr>
          <w:p>
            <w:r>
              <w:t>-</w:t>
            </w:r>
          </w:p>
        </w:tc>
        <w:tc>
          <w:tcPr>
            <w:tcW w:type="dxa" w:w="2160"/>
          </w:tcPr>
          <w:p>
            <w:r>
              <w:t>Recital 41</w:t>
            </w:r>
          </w:p>
        </w:tc>
        <w:tc>
          <w:tcPr>
            <w:tcW w:type="dxa" w:w="2160"/>
          </w:tcPr>
          <w:p>
            <w:r>
              <w:t>-</w:t>
            </w:r>
          </w:p>
        </w:tc>
      </w:tr>
      <w:tr>
        <w:tc>
          <w:tcPr>
            <w:tcW w:type="dxa" w:w="2160"/>
          </w:tcPr>
          <w:p>
            <w:r>
              <w:t>Art. 67</w:t>
            </w:r>
          </w:p>
        </w:tc>
        <w:tc>
          <w:tcPr>
            <w:tcW w:type="dxa" w:w="2160"/>
          </w:tcPr>
          <w:p>
            <w:r>
              <w:t>-</w:t>
            </w:r>
          </w:p>
        </w:tc>
        <w:tc>
          <w:tcPr>
            <w:tcW w:type="dxa" w:w="2160"/>
          </w:tcPr>
          <w:p>
            <w:r>
              <w:t>-</w:t>
            </w:r>
          </w:p>
        </w:tc>
        <w:tc>
          <w:tcPr>
            <w:tcW w:type="dxa" w:w="2160"/>
          </w:tcPr>
          <w:p>
            <w:r>
              <w:t>-</w:t>
            </w:r>
          </w:p>
        </w:tc>
      </w:tr>
      <w:tr>
        <w:tc>
          <w:tcPr>
            <w:tcW w:type="dxa" w:w="2160"/>
          </w:tcPr>
          <w:p>
            <w:r>
              <w:t>Art. 68</w:t>
            </w:r>
          </w:p>
        </w:tc>
        <w:tc>
          <w:tcPr>
            <w:tcW w:type="dxa" w:w="2160"/>
          </w:tcPr>
          <w:p>
            <w:r>
              <w:t>-</w:t>
            </w:r>
          </w:p>
        </w:tc>
        <w:tc>
          <w:tcPr>
            <w:tcW w:type="dxa" w:w="2160"/>
          </w:tcPr>
          <w:p>
            <w:r>
              <w:t>-</w:t>
            </w:r>
          </w:p>
        </w:tc>
        <w:tc>
          <w:tcPr>
            <w:tcW w:type="dxa" w:w="2160"/>
          </w:tcPr>
          <w:p>
            <w:r>
              <w:t>-</w:t>
            </w:r>
          </w:p>
        </w:tc>
      </w:tr>
      <w:tr>
        <w:tc>
          <w:tcPr>
            <w:tcW w:type="dxa" w:w="2160"/>
          </w:tcPr>
          <w:p>
            <w:r>
              <w:t>Art. 69</w:t>
            </w:r>
          </w:p>
        </w:tc>
        <w:tc>
          <w:tcPr>
            <w:tcW w:type="dxa" w:w="2160"/>
          </w:tcPr>
          <w:p>
            <w:r>
              <w:t>-</w:t>
            </w:r>
          </w:p>
        </w:tc>
        <w:tc>
          <w:tcPr>
            <w:tcW w:type="dxa" w:w="2160"/>
          </w:tcPr>
          <w:p>
            <w:r>
              <w:t>-</w:t>
            </w:r>
          </w:p>
        </w:tc>
        <w:tc>
          <w:tcPr>
            <w:tcW w:type="dxa" w:w="2160"/>
          </w:tcPr>
          <w:p>
            <w:r>
              <w:t>-</w:t>
            </w:r>
          </w:p>
        </w:tc>
      </w:tr>
      <w:tr>
        <w:tc>
          <w:tcPr>
            <w:tcW w:type="dxa" w:w="2160"/>
          </w:tcPr>
          <w:p>
            <w:r>
              <w:t>Art. 70</w:t>
            </w:r>
          </w:p>
        </w:tc>
        <w:tc>
          <w:tcPr>
            <w:tcW w:type="dxa" w:w="2160"/>
          </w:tcPr>
          <w:p>
            <w:r>
              <w:t>-</w:t>
            </w:r>
          </w:p>
        </w:tc>
        <w:tc>
          <w:tcPr>
            <w:tcW w:type="dxa" w:w="2160"/>
          </w:tcPr>
          <w:p>
            <w:r>
              <w:t>-</w:t>
            </w:r>
          </w:p>
        </w:tc>
        <w:tc>
          <w:tcPr>
            <w:tcW w:type="dxa" w:w="2160"/>
          </w:tcPr>
          <w:p>
            <w:r>
              <w:t>Art. 85 Para. 1</w:t>
            </w:r>
          </w:p>
        </w:tc>
      </w:tr>
      <w:tr>
        <w:tc>
          <w:tcPr>
            <w:tcW w:type="dxa" w:w="2160"/>
          </w:tcPr>
          <w:p>
            <w:r>
              <w:t>Art. 71</w:t>
            </w:r>
          </w:p>
        </w:tc>
        <w:tc>
          <w:tcPr>
            <w:tcW w:type="dxa" w:w="2160"/>
          </w:tcPr>
          <w:p>
            <w:r>
              <w:t>-</w:t>
            </w:r>
          </w:p>
        </w:tc>
        <w:tc>
          <w:tcPr>
            <w:tcW w:type="dxa" w:w="2160"/>
          </w:tcPr>
          <w:p>
            <w:r>
              <w:t>-</w:t>
            </w:r>
          </w:p>
        </w:tc>
        <w:tc>
          <w:tcPr>
            <w:tcW w:type="dxa" w:w="2160"/>
          </w:tcPr>
          <w:p>
            <w:r>
              <w:t>-</w:t>
            </w:r>
          </w:p>
        </w:tc>
      </w:tr>
      <w:tr>
        <w:tc>
          <w:tcPr>
            <w:tcW w:type="dxa" w:w="2160"/>
          </w:tcPr>
          <w:p>
            <w:r>
              <w:t>Art. 72</w:t>
            </w:r>
          </w:p>
        </w:tc>
        <w:tc>
          <w:tcPr>
            <w:tcW w:type="dxa" w:w="2160"/>
          </w:tcPr>
          <w:p>
            <w:r>
              <w:t>-</w:t>
            </w:r>
          </w:p>
        </w:tc>
        <w:tc>
          <w:tcPr>
            <w:tcW w:type="dxa" w:w="2160"/>
          </w:tcPr>
          <w:p>
            <w:r>
              <w:t>-</w:t>
            </w:r>
          </w:p>
        </w:tc>
        <w:tc>
          <w:tcPr>
            <w:tcW w:type="dxa" w:w="2160"/>
          </w:tcPr>
          <w:p>
            <w:r>
              <w:t>Art. 85 Para. 2</w:t>
            </w:r>
          </w:p>
        </w:tc>
      </w:tr>
      <w:tr>
        <w:tc>
          <w:tcPr>
            <w:tcW w:type="dxa" w:w="2160"/>
          </w:tcPr>
          <w:p>
            <w:r>
              <w:t>Art. 73</w:t>
            </w:r>
          </w:p>
        </w:tc>
        <w:tc>
          <w:tcPr>
            <w:tcW w:type="dxa" w:w="2160"/>
          </w:tcPr>
          <w:p>
            <w:r>
              <w:t>-</w:t>
            </w:r>
          </w:p>
        </w:tc>
        <w:tc>
          <w:tcPr>
            <w:tcW w:type="dxa" w:w="2160"/>
          </w:tcPr>
          <w:p>
            <w:r>
              <w:t>-</w:t>
            </w:r>
          </w:p>
        </w:tc>
        <w:tc>
          <w:tcPr>
            <w:tcW w:type="dxa" w:w="2160"/>
          </w:tcPr>
          <w:p>
            <w:r>
              <w:t>-</w:t>
            </w:r>
          </w:p>
        </w:tc>
      </w:tr>
      <w:tr>
        <w:tc>
          <w:tcPr>
            <w:tcW w:type="dxa" w:w="2160"/>
          </w:tcPr>
          <w:p>
            <w:r>
              <w:t>Art. 74</w:t>
            </w:r>
          </w:p>
        </w:tc>
        <w:tc>
          <w:tcPr>
            <w:tcW w:type="dxa" w:w="2160"/>
          </w:tcPr>
          <w:p>
            <w:r>
              <w:t>-</w:t>
            </w:r>
          </w:p>
        </w:tc>
        <w:tc>
          <w:tcPr>
            <w:tcW w:type="dxa" w:w="2160"/>
          </w:tcPr>
          <w:p>
            <w:r/>
          </w:p>
        </w:tc>
        <w:tc>
          <w:tcPr>
            <w:tcW w:type="dxa" w:w="2160"/>
          </w:tcPr>
          <w:p>
            <w:r>
              <w:t>-</w:t>
            </w:r>
          </w:p>
        </w:tc>
      </w:tr>
      <w:tr>
        <w:tc>
          <w:tcPr>
            <w:tcW w:type="dxa" w:w="2160"/>
          </w:tcPr>
          <w:p>
            <w:r>
              <w:t>Art. 74 Nr. 2</w:t>
            </w:r>
          </w:p>
        </w:tc>
        <w:tc>
          <w:tcPr>
            <w:tcW w:type="dxa" w:w="2160"/>
          </w:tcPr>
          <w:p>
            <w:r>
              <w:t>-</w:t>
            </w:r>
          </w:p>
        </w:tc>
        <w:tc>
          <w:tcPr>
            <w:tcW w:type="dxa" w:w="2160"/>
          </w:tcPr>
          <w:p>
            <w:r>
              <w:t>-</w:t>
            </w:r>
          </w:p>
        </w:tc>
        <w:tc>
          <w:tcPr>
            <w:tcW w:type="dxa" w:w="2160"/>
          </w:tcPr>
          <w:p>
            <w:r>
              <w:t>Art. 85 Para. 2</w:t>
            </w:r>
          </w:p>
        </w:tc>
      </w:tr>
      <w:tr>
        <w:tc>
          <w:tcPr>
            <w:tcW w:type="dxa" w:w="2160"/>
          </w:tcPr>
          <w:p>
            <w:r>
              <w:t>Art. 75</w:t>
            </w:r>
          </w:p>
        </w:tc>
        <w:tc>
          <w:tcPr>
            <w:tcW w:type="dxa" w:w="2160"/>
          </w:tcPr>
          <w:p>
            <w:r>
              <w:t>-</w:t>
            </w:r>
          </w:p>
        </w:tc>
        <w:tc>
          <w:tcPr>
            <w:tcW w:type="dxa" w:w="2160"/>
          </w:tcPr>
          <w:p>
            <w:r>
              <w:t>-</w:t>
            </w:r>
          </w:p>
        </w:tc>
        <w:tc>
          <w:tcPr>
            <w:tcW w:type="dxa" w:w="2160"/>
          </w:tcPr>
          <w:p>
            <w:r>
              <w:t>-</w:t>
            </w:r>
          </w:p>
        </w:tc>
      </w:tr>
      <w:tr>
        <w:tc>
          <w:tcPr>
            <w:tcW w:type="dxa" w:w="2160"/>
          </w:tcPr>
          <w:p>
            <w:r>
              <w:t>Art. 76</w:t>
            </w:r>
          </w:p>
        </w:tc>
        <w:tc>
          <w:tcPr>
            <w:tcW w:type="dxa" w:w="2160"/>
          </w:tcPr>
          <w:p>
            <w:r>
              <w:t>-</w:t>
            </w:r>
          </w:p>
        </w:tc>
        <w:tc>
          <w:tcPr>
            <w:tcW w:type="dxa" w:w="2160"/>
          </w:tcPr>
          <w:p>
            <w:r>
              <w:t>-</w:t>
            </w:r>
          </w:p>
        </w:tc>
        <w:tc>
          <w:tcPr>
            <w:tcW w:type="dxa" w:w="2160"/>
          </w:tcPr>
          <w:p>
            <w:r>
              <w:t>-</w:t>
            </w:r>
          </w:p>
        </w:tc>
      </w:tr>
      <w:tr>
        <w:tc>
          <w:tcPr>
            <w:tcW w:type="dxa" w:w="2160"/>
          </w:tcPr>
          <w:p>
            <w:r>
              <w:t>Art. 77</w:t>
            </w:r>
          </w:p>
        </w:tc>
        <w:tc>
          <w:tcPr>
            <w:tcW w:type="dxa" w:w="2160"/>
          </w:tcPr>
          <w:p>
            <w:r>
              <w:t>-</w:t>
            </w:r>
          </w:p>
        </w:tc>
        <w:tc>
          <w:tcPr>
            <w:tcW w:type="dxa" w:w="2160"/>
          </w:tcPr>
          <w:p>
            <w:r>
              <w:t>-</w:t>
            </w:r>
          </w:p>
        </w:tc>
        <w:tc>
          <w:tcPr>
            <w:tcW w:type="dxa" w:w="2160"/>
          </w:tcPr>
          <w:p>
            <w:r>
              <w:t>-</w:t>
            </w:r>
          </w:p>
        </w:tc>
      </w:tr>
      <w:tr>
        <w:tc>
          <w:tcPr>
            <w:tcW w:type="dxa" w:w="2160"/>
          </w:tcPr>
          <w:p>
            <w:r>
              <w:t>Art. 78</w:t>
            </w:r>
          </w:p>
        </w:tc>
        <w:tc>
          <w:tcPr>
            <w:tcW w:type="dxa" w:w="2160"/>
          </w:tcPr>
          <w:p>
            <w:r>
              <w:t>Art. 23</w:t>
            </w:r>
          </w:p>
        </w:tc>
        <w:tc>
          <w:tcPr>
            <w:tcW w:type="dxa" w:w="2160"/>
          </w:tcPr>
          <w:p>
            <w:r>
              <w:t>Art. 15</w:t>
            </w:r>
          </w:p>
        </w:tc>
        <w:tc>
          <w:tcPr>
            <w:tcW w:type="dxa" w:w="2160"/>
          </w:tcPr>
          <w:p>
            <w:r>
              <w:t>Art. 24</w:t>
            </w:r>
          </w:p>
        </w:tc>
      </w:tr>
      <w:tr>
        <w:tc>
          <w:tcPr>
            <w:tcW w:type="dxa" w:w="2160"/>
          </w:tcPr>
          <w:p>
            <w:r>
              <w:t>Art. 79</w:t>
            </w:r>
          </w:p>
        </w:tc>
        <w:tc>
          <w:tcPr>
            <w:tcW w:type="dxa" w:w="2160"/>
          </w:tcPr>
          <w:p>
            <w:r>
              <w:t>Art. 25</w:t>
            </w:r>
          </w:p>
        </w:tc>
        <w:tc>
          <w:tcPr>
            <w:tcW w:type="dxa" w:w="2160"/>
          </w:tcPr>
          <w:p>
            <w:r>
              <w:t>Art. 14</w:t>
            </w:r>
          </w:p>
        </w:tc>
        <w:tc>
          <w:tcPr>
            <w:tcW w:type="dxa" w:w="2160"/>
          </w:tcPr>
          <w:p>
            <w:r>
              <w:t>Art. 32</w:t>
            </w:r>
          </w:p>
        </w:tc>
      </w:tr>
      <w:tr>
        <w:tc>
          <w:tcPr>
            <w:tcW w:type="dxa" w:w="2160"/>
          </w:tcPr>
          <w:p>
            <w:r>
              <w:t>Art. 80</w:t>
            </w:r>
          </w:p>
        </w:tc>
        <w:tc>
          <w:tcPr>
            <w:tcW w:type="dxa" w:w="2160"/>
          </w:tcPr>
          <w:p>
            <w:r>
              <w:t>Art. 17</w:t>
            </w:r>
          </w:p>
        </w:tc>
        <w:tc>
          <w:tcPr>
            <w:tcW w:type="dxa" w:w="2160"/>
          </w:tcPr>
          <w:p>
            <w:r>
              <w:t>Art. 12</w:t>
            </w:r>
          </w:p>
        </w:tc>
        <w:tc>
          <w:tcPr>
            <w:tcW w:type="dxa" w:w="2160"/>
          </w:tcPr>
          <w:p>
            <w:r>
              <w:t>Art. 28</w:t>
            </w:r>
          </w:p>
        </w:tc>
      </w:tr>
      <w:tr>
        <w:tc>
          <w:tcPr>
            <w:tcW w:type="dxa" w:w="2160"/>
          </w:tcPr>
          <w:p>
            <w:r>
              <w:t>Art. 81</w:t>
            </w:r>
          </w:p>
        </w:tc>
        <w:tc>
          <w:tcPr>
            <w:tcW w:type="dxa" w:w="2160"/>
          </w:tcPr>
          <w:p>
            <w:r>
              <w:t>Recital 45, Art. 17 Para. 4</w:t>
            </w:r>
          </w:p>
        </w:tc>
        <w:tc>
          <w:tcPr>
            <w:tcW w:type="dxa" w:w="2160"/>
          </w:tcPr>
          <w:p>
            <w:r>
              <w:t>Recital 31, Art. 12</w:t>
            </w:r>
          </w:p>
        </w:tc>
        <w:tc>
          <w:tcPr>
            <w:tcW w:type="dxa" w:w="2160"/>
          </w:tcPr>
          <w:p>
            <w:r>
              <w:t>Art. 28 Para. 4</w:t>
            </w:r>
          </w:p>
        </w:tc>
      </w:tr>
      <w:tr>
        <w:tc>
          <w:tcPr>
            <w:tcW w:type="dxa" w:w="2160"/>
          </w:tcPr>
          <w:p>
            <w:r>
              <w:t>Art. 82</w:t>
            </w:r>
          </w:p>
        </w:tc>
        <w:tc>
          <w:tcPr>
            <w:tcW w:type="dxa" w:w="2160"/>
          </w:tcPr>
          <w:p>
            <w:r>
              <w:t>Art. 2 Para. 1</w:t>
            </w:r>
          </w:p>
        </w:tc>
        <w:tc>
          <w:tcPr>
            <w:tcW w:type="dxa" w:w="2160"/>
          </w:tcPr>
          <w:p>
            <w:r>
              <w:t>Art. 12, 2 Para.2</w:t>
            </w:r>
          </w:p>
        </w:tc>
        <w:tc>
          <w:tcPr>
            <w:tcW w:type="dxa" w:w="2160"/>
          </w:tcPr>
          <w:p>
            <w:r>
              <w:t>-</w:t>
            </w:r>
          </w:p>
        </w:tc>
      </w:tr>
      <w:tr>
        <w:tc>
          <w:tcPr>
            <w:tcW w:type="dxa" w:w="2160"/>
          </w:tcPr>
          <w:p>
            <w:r>
              <w:t>Art. 83 Para. 1</w:t>
            </w:r>
          </w:p>
        </w:tc>
        <w:tc>
          <w:tcPr>
            <w:tcW w:type="dxa" w:w="2160"/>
          </w:tcPr>
          <w:p>
            <w:r>
              <w:t>Art. 13</w:t>
            </w:r>
          </w:p>
        </w:tc>
        <w:tc>
          <w:tcPr>
            <w:tcW w:type="dxa" w:w="2160"/>
          </w:tcPr>
          <w:p>
            <w:r>
              <w:t>-</w:t>
            </w:r>
          </w:p>
        </w:tc>
        <w:tc>
          <w:tcPr>
            <w:tcW w:type="dxa" w:w="2160"/>
          </w:tcPr>
          <w:p>
            <w:r>
              <w:t>Art. 29 Para. 3</w:t>
            </w:r>
          </w:p>
        </w:tc>
      </w:tr>
      <w:tr>
        <w:tc>
          <w:tcPr>
            <w:tcW w:type="dxa" w:w="2160"/>
          </w:tcPr>
          <w:p>
            <w:r>
              <w:t>Art. 83 Para. 2</w:t>
            </w:r>
          </w:p>
        </w:tc>
        <w:tc>
          <w:tcPr>
            <w:tcW w:type="dxa" w:w="2160"/>
          </w:tcPr>
          <w:p>
            <w:r>
              <w:t>Art. 13</w:t>
            </w:r>
          </w:p>
        </w:tc>
        <w:tc>
          <w:tcPr>
            <w:tcW w:type="dxa" w:w="2160"/>
          </w:tcPr>
          <w:p>
            <w:r>
              <w:t>-</w:t>
            </w:r>
          </w:p>
        </w:tc>
        <w:tc>
          <w:tcPr>
            <w:tcW w:type="dxa" w:w="2160"/>
          </w:tcPr>
          <w:p>
            <w:r>
              <w:t>Art. 29 Para. 2</w:t>
            </w:r>
          </w:p>
        </w:tc>
      </w:tr>
      <w:tr>
        <w:tc>
          <w:tcPr>
            <w:tcW w:type="dxa" w:w="2160"/>
          </w:tcPr>
          <w:p>
            <w:r>
              <w:t>Art. 83 Para. 3</w:t>
            </w:r>
          </w:p>
        </w:tc>
        <w:tc>
          <w:tcPr>
            <w:tcW w:type="dxa" w:w="2160"/>
          </w:tcPr>
          <w:p>
            <w:r>
              <w:t>Art. 13</w:t>
            </w:r>
          </w:p>
        </w:tc>
        <w:tc>
          <w:tcPr>
            <w:tcW w:type="dxa" w:w="2160"/>
          </w:tcPr>
          <w:p>
            <w:r>
              <w:t>-</w:t>
            </w:r>
          </w:p>
        </w:tc>
        <w:tc>
          <w:tcPr>
            <w:tcW w:type="dxa" w:w="2160"/>
          </w:tcPr>
          <w:p>
            <w:r>
              <w:t>Art. 29 Para. 1</w:t>
            </w:r>
          </w:p>
        </w:tc>
      </w:tr>
      <w:tr>
        <w:tc>
          <w:tcPr>
            <w:tcW w:type="dxa" w:w="2160"/>
          </w:tcPr>
          <w:p>
            <w:r>
              <w:t>Art. 83 Para. 4</w:t>
            </w:r>
          </w:p>
        </w:tc>
        <w:tc>
          <w:tcPr>
            <w:tcW w:type="dxa" w:w="2160"/>
          </w:tcPr>
          <w:p>
            <w:r>
              <w:t>Art. 13</w:t>
            </w:r>
          </w:p>
        </w:tc>
        <w:tc>
          <w:tcPr>
            <w:tcW w:type="dxa" w:w="2160"/>
          </w:tcPr>
          <w:p>
            <w:r>
              <w:t>-</w:t>
            </w:r>
          </w:p>
        </w:tc>
        <w:tc>
          <w:tcPr>
            <w:tcW w:type="dxa" w:w="2160"/>
          </w:tcPr>
          <w:p>
            <w:r>
              <w:t>Art. 29 Para. 1 Sub. 1</w:t>
            </w:r>
          </w:p>
        </w:tc>
      </w:tr>
      <w:tr>
        <w:tc>
          <w:tcPr>
            <w:tcW w:type="dxa" w:w="2160"/>
          </w:tcPr>
          <w:p>
            <w:r>
              <w:t>Art. 84</w:t>
            </w:r>
          </w:p>
        </w:tc>
        <w:tc>
          <w:tcPr>
            <w:tcW w:type="dxa" w:w="2160"/>
          </w:tcPr>
          <w:p>
            <w:r>
              <w:t>Art. 14</w:t>
            </w:r>
          </w:p>
        </w:tc>
        <w:tc>
          <w:tcPr>
            <w:tcW w:type="dxa" w:w="2160"/>
          </w:tcPr>
          <w:p>
            <w:r>
              <w:t>-</w:t>
            </w:r>
          </w:p>
        </w:tc>
        <w:tc>
          <w:tcPr>
            <w:tcW w:type="dxa" w:w="2160"/>
          </w:tcPr>
          <w:p>
            <w:r>
              <w:t>Art. 30</w:t>
            </w:r>
          </w:p>
        </w:tc>
      </w:tr>
      <w:tr>
        <w:tc>
          <w:tcPr>
            <w:tcW w:type="dxa" w:w="2160"/>
          </w:tcPr>
          <w:p>
            <w:r>
              <w:t>Art. 85</w:t>
            </w:r>
          </w:p>
        </w:tc>
        <w:tc>
          <w:tcPr>
            <w:tcW w:type="dxa" w:w="2160"/>
          </w:tcPr>
          <w:p>
            <w:r>
              <w:t>Art. 10</w:t>
            </w:r>
          </w:p>
        </w:tc>
        <w:tc>
          <w:tcPr>
            <w:tcW w:type="dxa" w:w="2160"/>
          </w:tcPr>
          <w:p>
            <w:r>
              <w:t>Art. 10, 11</w:t>
            </w:r>
          </w:p>
        </w:tc>
        <w:tc>
          <w:tcPr>
            <w:tcW w:type="dxa" w:w="2160"/>
          </w:tcPr>
          <w:p>
            <w:r>
              <w:t>-</w:t>
            </w:r>
          </w:p>
        </w:tc>
      </w:tr>
      <w:tr>
        <w:tc>
          <w:tcPr>
            <w:tcW w:type="dxa" w:w="2160"/>
          </w:tcPr>
          <w:p>
            <w:r>
              <w:t>Art. 86</w:t>
            </w:r>
          </w:p>
        </w:tc>
        <w:tc>
          <w:tcPr>
            <w:tcW w:type="dxa" w:w="2160"/>
          </w:tcPr>
          <w:p>
            <w:r>
              <w:t>Art. 21</w:t>
            </w:r>
          </w:p>
        </w:tc>
        <w:tc>
          <w:tcPr>
            <w:tcW w:type="dxa" w:w="2160"/>
          </w:tcPr>
          <w:p>
            <w:r>
              <w:t>Art. 16</w:t>
            </w:r>
          </w:p>
        </w:tc>
        <w:tc>
          <w:tcPr>
            <w:tcW w:type="dxa" w:w="2160"/>
          </w:tcPr>
          <w:p>
            <w:r>
              <w:t>Art. 25</w:t>
            </w:r>
          </w:p>
        </w:tc>
      </w:tr>
      <w:tr>
        <w:tc>
          <w:tcPr>
            <w:tcW w:type="dxa" w:w="2160"/>
          </w:tcPr>
          <w:p>
            <w:r>
              <w:t>Art. 87</w:t>
            </w:r>
          </w:p>
        </w:tc>
        <w:tc>
          <w:tcPr>
            <w:tcW w:type="dxa" w:w="2160"/>
          </w:tcPr>
          <w:p>
            <w:r>
              <w:t>Art. 20</w:t>
            </w:r>
          </w:p>
        </w:tc>
        <w:tc>
          <w:tcPr>
            <w:tcW w:type="dxa" w:w="2160"/>
          </w:tcPr>
          <w:p>
            <w:r>
              <w:t>Art. 3</w:t>
            </w:r>
          </w:p>
        </w:tc>
        <w:tc>
          <w:tcPr>
            <w:tcW w:type="dxa" w:w="2160"/>
          </w:tcPr>
          <w:p>
            <w:r>
              <w:t>Art. 5</w:t>
            </w:r>
          </w:p>
        </w:tc>
      </w:tr>
      <w:tr>
        <w:tc>
          <w:tcPr>
            <w:tcW w:type="dxa" w:w="2160"/>
          </w:tcPr>
          <w:p>
            <w:r>
              <w:t>Art. 88</w:t>
            </w:r>
          </w:p>
        </w:tc>
        <w:tc>
          <w:tcPr>
            <w:tcW w:type="dxa" w:w="2160"/>
          </w:tcPr>
          <w:p>
            <w:r>
              <w:t>Art. 36</w:t>
            </w:r>
          </w:p>
        </w:tc>
        <w:tc>
          <w:tcPr>
            <w:tcW w:type="dxa" w:w="2160"/>
          </w:tcPr>
          <w:p>
            <w:r>
              <w:t>Art. 42</w:t>
            </w:r>
          </w:p>
        </w:tc>
        <w:tc>
          <w:tcPr>
            <w:tcW w:type="dxa" w:w="2160"/>
          </w:tcPr>
          <w:p>
            <w:r>
              <w:t>Art. 60</w:t>
            </w:r>
          </w:p>
        </w:tc>
      </w:tr>
      <w:tr>
        <w:tc>
          <w:tcPr>
            <w:tcW w:type="dxa" w:w="2160"/>
          </w:tcPr>
          <w:p>
            <w:r>
              <w:t>Art. 89</w:t>
            </w:r>
          </w:p>
        </w:tc>
        <w:tc>
          <w:tcPr>
            <w:tcW w:type="dxa" w:w="2160"/>
          </w:tcPr>
          <w:p>
            <w:r>
              <w:t>-</w:t>
            </w:r>
          </w:p>
        </w:tc>
        <w:tc>
          <w:tcPr>
            <w:tcW w:type="dxa" w:w="2160"/>
          </w:tcPr>
          <w:p>
            <w:r>
              <w:t>Art. 45</w:t>
            </w:r>
          </w:p>
        </w:tc>
        <w:tc>
          <w:tcPr>
            <w:tcW w:type="dxa" w:w="2160"/>
          </w:tcPr>
          <w:p>
            <w:r>
              <w:t>Art. 64</w:t>
            </w:r>
          </w:p>
        </w:tc>
      </w:tr>
      <w:tr>
        <w:tc>
          <w:tcPr>
            <w:tcW w:type="dxa" w:w="2160"/>
          </w:tcPr>
          <w:p>
            <w:r>
              <w:t>Art. 90</w:t>
            </w:r>
          </w:p>
        </w:tc>
        <w:tc>
          <w:tcPr>
            <w:tcW w:type="dxa" w:w="2160"/>
          </w:tcPr>
          <w:p>
            <w:r>
              <w:t>-</w:t>
            </w:r>
          </w:p>
        </w:tc>
        <w:tc>
          <w:tcPr>
            <w:tcW w:type="dxa" w:w="2160"/>
          </w:tcPr>
          <w:p>
            <w:r>
              <w:t>-</w:t>
            </w:r>
          </w:p>
        </w:tc>
        <w:tc>
          <w:tcPr>
            <w:tcW w:type="dxa" w:w="2160"/>
          </w:tcPr>
          <w:p>
            <w:r>
              <w:t>-</w:t>
            </w:r>
          </w:p>
        </w:tc>
      </w:tr>
      <w:tr>
        <w:tc>
          <w:tcPr>
            <w:tcW w:type="dxa" w:w="2160"/>
          </w:tcPr>
          <w:p>
            <w:r>
              <w:t>Art. 91</w:t>
            </w:r>
          </w:p>
        </w:tc>
        <w:tc>
          <w:tcPr>
            <w:tcW w:type="dxa" w:w="2160"/>
          </w:tcPr>
          <w:p>
            <w:r>
              <w:t>-</w:t>
            </w:r>
          </w:p>
        </w:tc>
        <w:tc>
          <w:tcPr>
            <w:tcW w:type="dxa" w:w="2160"/>
          </w:tcPr>
          <w:p>
            <w:r>
              <w:t>Art. 43</w:t>
            </w:r>
          </w:p>
        </w:tc>
        <w:tc>
          <w:tcPr>
            <w:tcW w:type="dxa" w:w="2160"/>
          </w:tcPr>
          <w:p>
            <w:r>
              <w:t>Art. 61</w:t>
            </w:r>
          </w:p>
        </w:tc>
      </w:tr>
      <w:tr>
        <w:tc>
          <w:tcPr>
            <w:tcW w:type="dxa" w:w="2160"/>
          </w:tcPr>
          <w:p>
            <w:r>
              <w:t>Art. 92</w:t>
            </w:r>
          </w:p>
        </w:tc>
        <w:tc>
          <w:tcPr>
            <w:tcW w:type="dxa" w:w="2160"/>
          </w:tcPr>
          <w:p>
            <w:r>
              <w:t>Art. 38 Para. 1</w:t>
            </w:r>
          </w:p>
        </w:tc>
        <w:tc>
          <w:tcPr>
            <w:tcW w:type="dxa" w:w="2160"/>
          </w:tcPr>
          <w:p>
            <w:r>
              <w:t>Art. 44</w:t>
            </w:r>
          </w:p>
        </w:tc>
        <w:tc>
          <w:tcPr>
            <w:tcW w:type="dxa" w:w="2160"/>
          </w:tcPr>
          <w:p>
            <w:r>
              <w:t>Art. 62</w:t>
            </w:r>
          </w:p>
        </w:tc>
      </w:tr>
      <w:tr>
        <w:tc>
          <w:tcPr>
            <w:tcW w:type="dxa" w:w="2160"/>
          </w:tcPr>
          <w:p>
            <w:r>
              <w:t>Art. 93</w:t>
            </w:r>
          </w:p>
        </w:tc>
        <w:tc>
          <w:tcPr>
            <w:tcW w:type="dxa" w:w="2160"/>
          </w:tcPr>
          <w:p>
            <w:r>
              <w:t>Art. 28</w:t>
            </w:r>
          </w:p>
        </w:tc>
        <w:tc>
          <w:tcPr>
            <w:tcW w:type="dxa" w:w="2160"/>
          </w:tcPr>
          <w:p>
            <w:r>
              <w:t>Art. 21</w:t>
            </w:r>
          </w:p>
        </w:tc>
        <w:tc>
          <w:tcPr>
            <w:tcW w:type="dxa" w:w="2160"/>
          </w:tcPr>
          <w:p>
            <w:r>
              <w:t>Art. 39</w:t>
            </w:r>
          </w:p>
        </w:tc>
      </w:tr>
      <w:tr>
        <w:tc>
          <w:tcPr>
            <w:tcW w:type="dxa" w:w="2160"/>
          </w:tcPr>
          <w:p>
            <w:r>
              <w:t>Art. 94</w:t>
            </w:r>
          </w:p>
        </w:tc>
        <w:tc>
          <w:tcPr>
            <w:tcW w:type="dxa" w:w="2160"/>
          </w:tcPr>
          <w:p>
            <w:r>
              <w:t>Art. 35</w:t>
            </w:r>
          </w:p>
        </w:tc>
        <w:tc>
          <w:tcPr>
            <w:tcW w:type="dxa" w:w="2160"/>
          </w:tcPr>
          <w:p>
            <w:r>
              <w:t>Art. 24</w:t>
            </w:r>
          </w:p>
        </w:tc>
        <w:tc>
          <w:tcPr>
            <w:tcW w:type="dxa" w:w="2160"/>
          </w:tcPr>
          <w:p>
            <w:r>
              <w:t>Art. 42</w:t>
            </w:r>
          </w:p>
        </w:tc>
      </w:tr>
      <w:tr>
        <w:tc>
          <w:tcPr>
            <w:tcW w:type="dxa" w:w="2160"/>
          </w:tcPr>
          <w:p>
            <w:r>
              <w:t>Art. 95</w:t>
            </w:r>
          </w:p>
        </w:tc>
        <w:tc>
          <w:tcPr>
            <w:tcW w:type="dxa" w:w="2160"/>
          </w:tcPr>
          <w:p>
            <w:r>
              <w:t>-</w:t>
            </w:r>
          </w:p>
        </w:tc>
        <w:tc>
          <w:tcPr>
            <w:tcW w:type="dxa" w:w="2160"/>
          </w:tcPr>
          <w:p>
            <w:r>
              <w:t>Art. 41</w:t>
            </w:r>
          </w:p>
        </w:tc>
        <w:tc>
          <w:tcPr>
            <w:tcW w:type="dxa" w:w="2160"/>
          </w:tcPr>
          <w:p>
            <w:r>
              <w:t>Art. 59</w:t>
            </w:r>
          </w:p>
        </w:tc>
      </w:tr>
      <w:tr>
        <w:tc>
          <w:tcPr>
            <w:tcW w:type="dxa" w:w="2160"/>
          </w:tcPr>
          <w:p>
            <w:r>
              <w:t>Art. 96</w:t>
            </w:r>
          </w:p>
        </w:tc>
        <w:tc>
          <w:tcPr>
            <w:tcW w:type="dxa" w:w="2160"/>
          </w:tcPr>
          <w:p>
            <w:r>
              <w:t>Art. 39</w:t>
            </w:r>
          </w:p>
        </w:tc>
        <w:tc>
          <w:tcPr>
            <w:tcW w:type="dxa" w:w="2160"/>
          </w:tcPr>
          <w:p>
            <w:r>
              <w:t>Art. 47</w:t>
            </w:r>
          </w:p>
        </w:tc>
        <w:tc>
          <w:tcPr>
            <w:tcW w:type="dxa" w:w="2160"/>
          </w:tcPr>
          <w:p>
            <w:r>
              <w:t>Art. 66</w:t>
            </w:r>
          </w:p>
        </w:tc>
      </w:tr>
      <w:tr>
        <w:tc>
          <w:tcPr>
            <w:tcW w:type="dxa" w:w="2160"/>
          </w:tcPr>
          <w:p>
            <w:r>
              <w:t>Art. 97</w:t>
            </w:r>
          </w:p>
        </w:tc>
        <w:tc>
          <w:tcPr>
            <w:tcW w:type="dxa" w:w="2160"/>
          </w:tcPr>
          <w:p>
            <w:r>
              <w:t>Art. 40</w:t>
            </w:r>
          </w:p>
        </w:tc>
        <w:tc>
          <w:tcPr>
            <w:tcW w:type="dxa" w:w="2160"/>
          </w:tcPr>
          <w:p>
            <w:r>
              <w:t>Art. 53</w:t>
            </w:r>
          </w:p>
        </w:tc>
        <w:tc>
          <w:tcPr>
            <w:tcW w:type="dxa" w:w="2160"/>
          </w:tcPr>
          <w:p>
            <w:r>
              <w:t>-</w:t>
            </w:r>
          </w:p>
        </w:tc>
      </w:tr>
      <w:tr>
        <w:tc>
          <w:tcPr>
            <w:tcW w:type="dxa" w:w="2160"/>
          </w:tcPr>
          <w:p>
            <w:r>
              <w:t>Art. 98</w:t>
            </w:r>
          </w:p>
        </w:tc>
        <w:tc>
          <w:tcPr>
            <w:tcW w:type="dxa" w:w="2160"/>
          </w:tcPr>
          <w:p>
            <w:r>
              <w:t>Art. 41</w:t>
            </w:r>
          </w:p>
        </w:tc>
        <w:tc>
          <w:tcPr>
            <w:tcW w:type="dxa" w:w="2160"/>
          </w:tcPr>
          <w:p>
            <w:r>
              <w:t>Art. 67</w:t>
            </w:r>
          </w:p>
        </w:tc>
        <w:tc>
          <w:tcPr>
            <w:tcW w:type="dxa" w:w="2160"/>
          </w:tcPr>
          <w:p>
            <w:r>
              <w:t>Art. 82</w:t>
            </w:r>
          </w:p>
        </w:tc>
      </w:tr>
      <w:tr>
        <w:tc>
          <w:tcPr>
            <w:tcW w:type="dxa" w:w="2160"/>
          </w:tcPr>
          <w:p>
            <w:r>
              <w:t>Art. 99</w:t>
            </w:r>
          </w:p>
        </w:tc>
        <w:tc>
          <w:tcPr>
            <w:tcW w:type="dxa" w:w="2160"/>
          </w:tcPr>
          <w:p>
            <w:r>
              <w:t>-</w:t>
            </w:r>
          </w:p>
        </w:tc>
        <w:tc>
          <w:tcPr>
            <w:tcW w:type="dxa" w:w="2160"/>
          </w:tcPr>
          <w:p>
            <w:r>
              <w:t>Art. 68</w:t>
            </w:r>
          </w:p>
        </w:tc>
        <w:tc>
          <w:tcPr>
            <w:tcW w:type="dxa" w:w="2160"/>
          </w:tcPr>
          <w:p>
            <w:r>
              <w:t>Art. 83</w:t>
            </w:r>
          </w:p>
        </w:tc>
      </w:tr>
      <w:tr>
        <w:tc>
          <w:tcPr>
            <w:tcW w:type="dxa" w:w="2160"/>
          </w:tcPr>
          <w:p>
            <w:r>
              <w:t>Art. 100</w:t>
            </w:r>
          </w:p>
        </w:tc>
        <w:tc>
          <w:tcPr>
            <w:tcW w:type="dxa" w:w="2160"/>
          </w:tcPr>
          <w:p>
            <w:r>
              <w:t>-</w:t>
            </w:r>
          </w:p>
        </w:tc>
        <w:tc>
          <w:tcPr>
            <w:tcW w:type="dxa" w:w="2160"/>
          </w:tcPr>
          <w:p>
            <w:r>
              <w:t>Art. 46</w:t>
            </w:r>
          </w:p>
        </w:tc>
        <w:tc>
          <w:tcPr>
            <w:tcW w:type="dxa" w:w="2160"/>
          </w:tcPr>
          <w:p>
            <w:r>
              <w:t>Art. 65</w:t>
            </w:r>
          </w:p>
        </w:tc>
      </w:tr>
      <w:tr>
        <w:tc>
          <w:tcPr>
            <w:tcW w:type="dxa" w:w="2160"/>
          </w:tcPr>
          <w:p>
            <w:r>
              <w:t>Art. 101</w:t>
            </w:r>
          </w:p>
        </w:tc>
        <w:tc>
          <w:tcPr>
            <w:tcW w:type="dxa" w:w="2160"/>
          </w:tcPr>
          <w:p>
            <w:r>
              <w:t>-</w:t>
            </w:r>
          </w:p>
        </w:tc>
        <w:tc>
          <w:tcPr>
            <w:tcW w:type="dxa" w:w="2160"/>
          </w:tcPr>
          <w:p>
            <w:r>
              <w:t>Art. 69</w:t>
            </w:r>
          </w:p>
        </w:tc>
        <w:tc>
          <w:tcPr>
            <w:tcW w:type="dxa" w:w="2160"/>
          </w:tcPr>
          <w:p>
            <w:r>
              <w:t>Art. 84</w:t>
            </w:r>
          </w:p>
        </w:tc>
      </w:tr>
      <w:tr>
        <w:tc>
          <w:tcPr>
            <w:tcW w:type="dxa" w:w="2160"/>
          </w:tcPr>
          <w:p>
            <w:r>
              <w:t>Art. 102</w:t>
            </w:r>
          </w:p>
        </w:tc>
        <w:tc>
          <w:tcPr>
            <w:tcW w:type="dxa" w:w="2160"/>
          </w:tcPr>
          <w:p>
            <w:r>
              <w:t>-</w:t>
            </w:r>
          </w:p>
        </w:tc>
        <w:tc>
          <w:tcPr>
            <w:tcW w:type="dxa" w:w="2160"/>
          </w:tcPr>
          <w:p>
            <w:r>
              <w:t>-</w:t>
            </w:r>
          </w:p>
        </w:tc>
        <w:tc>
          <w:tcPr>
            <w:tcW w:type="dxa" w:w="2160"/>
          </w:tcPr>
          <w:p>
            <w:r>
              <w:t>-</w:t>
            </w:r>
          </w:p>
        </w:tc>
      </w:tr>
      <w:tr>
        <w:tc>
          <w:tcPr>
            <w:tcW w:type="dxa" w:w="2160"/>
          </w:tcPr>
          <w:p>
            <w:r>
              <w:t>Art. 103</w:t>
            </w:r>
          </w:p>
        </w:tc>
        <w:tc>
          <w:tcPr>
            <w:tcW w:type="dxa" w:w="2160"/>
          </w:tcPr>
          <w:p>
            <w:r>
              <w:t>-</w:t>
            </w:r>
          </w:p>
        </w:tc>
        <w:tc>
          <w:tcPr>
            <w:tcW w:type="dxa" w:w="2160"/>
          </w:tcPr>
          <w:p>
            <w:r>
              <w:t>Art. 33</w:t>
            </w:r>
          </w:p>
        </w:tc>
        <w:tc>
          <w:tcPr>
            <w:tcW w:type="dxa" w:w="2160"/>
          </w:tcPr>
          <w:p>
            <w:r>
              <w:t>Art. 51</w:t>
            </w:r>
          </w:p>
        </w:tc>
      </w:tr>
      <w:tr>
        <w:tc>
          <w:tcPr>
            <w:tcW w:type="dxa" w:w="2160"/>
          </w:tcPr>
          <w:p>
            <w:r>
              <w:t>Art. 104</w:t>
            </w:r>
          </w:p>
        </w:tc>
        <w:tc>
          <w:tcPr>
            <w:tcW w:type="dxa" w:w="2160"/>
          </w:tcPr>
          <w:p>
            <w:r>
              <w:t>Art. 36</w:t>
            </w:r>
          </w:p>
        </w:tc>
        <w:tc>
          <w:tcPr>
            <w:tcW w:type="dxa" w:w="2160"/>
          </w:tcPr>
          <w:p>
            <w:r>
              <w:t>Art. 70</w:t>
            </w:r>
          </w:p>
        </w:tc>
        <w:tc>
          <w:tcPr>
            <w:tcW w:type="dxa" w:w="2160"/>
          </w:tcPr>
          <w:p>
            <w:r>
              <w:t>Art. 87</w:t>
            </w:r>
          </w:p>
        </w:tc>
      </w:tr>
      <w:tr>
        <w:tc>
          <w:tcPr>
            <w:tcW w:type="dxa" w:w="2160"/>
          </w:tcPr>
          <w:p>
            <w:r>
              <w:t>Art. 105</w:t>
            </w:r>
          </w:p>
        </w:tc>
        <w:tc>
          <w:tcPr>
            <w:tcW w:type="dxa" w:w="2160"/>
          </w:tcPr>
          <w:p>
            <w:r>
              <w:t>-</w:t>
            </w:r>
          </w:p>
        </w:tc>
        <w:tc>
          <w:tcPr>
            <w:tcW w:type="dxa" w:w="2160"/>
          </w:tcPr>
          <w:p>
            <w:r>
              <w:t>-</w:t>
            </w:r>
          </w:p>
        </w:tc>
        <w:tc>
          <w:tcPr>
            <w:tcW w:type="dxa" w:w="2160"/>
          </w:tcPr>
          <w:p>
            <w:r>
              <w:t>-</w:t>
            </w:r>
          </w:p>
        </w:tc>
      </w:tr>
      <w:tr>
        <w:tc>
          <w:tcPr>
            <w:tcW w:type="dxa" w:w="2160"/>
          </w:tcPr>
          <w:p>
            <w:r>
              <w:t>Art. 106</w:t>
            </w:r>
          </w:p>
        </w:tc>
        <w:tc>
          <w:tcPr>
            <w:tcW w:type="dxa" w:w="2160"/>
          </w:tcPr>
          <w:p>
            <w:r>
              <w:t>Art. 43</w:t>
            </w:r>
          </w:p>
        </w:tc>
        <w:tc>
          <w:tcPr>
            <w:tcW w:type="dxa" w:w="2160"/>
          </w:tcPr>
          <w:p>
            <w:r>
              <w:t>Art. 72</w:t>
            </w:r>
          </w:p>
        </w:tc>
        <w:tc>
          <w:tcPr>
            <w:tcW w:type="dxa" w:w="2160"/>
          </w:tcPr>
          <w:p>
            <w:r>
              <w:t>Art. 89</w:t>
            </w:r>
          </w:p>
        </w:tc>
      </w:tr>
      <w:tr>
        <w:tc>
          <w:tcPr>
            <w:tcW w:type="dxa" w:w="2160"/>
          </w:tcPr>
          <w:p>
            <w:r>
              <w:t>Art. 107</w:t>
            </w:r>
          </w:p>
        </w:tc>
        <w:tc>
          <w:tcPr>
            <w:tcW w:type="dxa" w:w="2160"/>
          </w:tcPr>
          <w:p>
            <w:r>
              <w:t>Art. 44</w:t>
            </w:r>
          </w:p>
        </w:tc>
        <w:tc>
          <w:tcPr>
            <w:tcW w:type="dxa" w:w="2160"/>
          </w:tcPr>
          <w:p>
            <w:r>
              <w:t>Art. 73</w:t>
            </w:r>
          </w:p>
        </w:tc>
        <w:tc>
          <w:tcPr>
            <w:tcW w:type="dxa" w:w="2160"/>
          </w:tcPr>
          <w:p>
            <w:r>
              <w:t>Art. 90</w:t>
            </w:r>
          </w:p>
        </w:tc>
      </w:tr>
      <w:tr>
        <w:tc>
          <w:tcPr>
            <w:tcW w:type="dxa" w:w="2160"/>
          </w:tcPr>
          <w:p>
            <w:r>
              <w:t>Art. 108</w:t>
            </w:r>
          </w:p>
        </w:tc>
        <w:tc>
          <w:tcPr>
            <w:tcW w:type="dxa" w:w="2160"/>
          </w:tcPr>
          <w:p>
            <w:r>
              <w:t>-</w:t>
            </w:r>
          </w:p>
        </w:tc>
        <w:tc>
          <w:tcPr>
            <w:tcW w:type="dxa" w:w="2160"/>
          </w:tcPr>
          <w:p>
            <w:r>
              <w:t>-</w:t>
            </w:r>
          </w:p>
        </w:tc>
        <w:tc>
          <w:tcPr>
            <w:tcW w:type="dxa" w:w="2160"/>
          </w:tcPr>
          <w:p>
            <w:r>
              <w:t>-</w:t>
            </w:r>
          </w:p>
        </w:tc>
      </w:tr>
      <w:tr>
        <w:tc>
          <w:tcPr>
            <w:tcW w:type="dxa" w:w="2160"/>
          </w:tcPr>
          <w:p>
            <w:r>
              <w:t>Art. 109</w:t>
            </w:r>
          </w:p>
        </w:tc>
        <w:tc>
          <w:tcPr>
            <w:tcW w:type="dxa" w:w="2160"/>
          </w:tcPr>
          <w:p>
            <w:r>
              <w:t>-</w:t>
            </w:r>
          </w:p>
        </w:tc>
        <w:tc>
          <w:tcPr>
            <w:tcW w:type="dxa" w:w="2160"/>
          </w:tcPr>
          <w:p>
            <w:r>
              <w:t>Art. 84</w:t>
            </w:r>
          </w:p>
        </w:tc>
        <w:tc>
          <w:tcPr>
            <w:tcW w:type="dxa" w:w="2160"/>
          </w:tcPr>
          <w:p>
            <w:r>
              <w:t>Art. 100</w:t>
            </w:r>
          </w:p>
        </w:tc>
      </w:tr>
      <w:tr>
        <w:tc>
          <w:tcPr>
            <w:tcW w:type="dxa" w:w="2160"/>
          </w:tcPr>
          <w:p>
            <w:r>
              <w:t>Art. 110</w:t>
            </w:r>
          </w:p>
        </w:tc>
        <w:tc>
          <w:tcPr>
            <w:tcW w:type="dxa" w:w="2160"/>
          </w:tcPr>
          <w:p>
            <w:r>
              <w:t>-</w:t>
            </w:r>
          </w:p>
        </w:tc>
        <w:tc>
          <w:tcPr>
            <w:tcW w:type="dxa" w:w="2160"/>
          </w:tcPr>
          <w:p>
            <w:r>
              <w:t>-</w:t>
            </w:r>
          </w:p>
        </w:tc>
        <w:tc>
          <w:tcPr>
            <w:tcW w:type="dxa" w:w="2160"/>
          </w:tcPr>
          <w:p>
            <w:r>
              <w:t>-</w:t>
            </w:r>
          </w:p>
        </w:tc>
      </w:tr>
      <w:tr>
        <w:tc>
          <w:tcPr>
            <w:tcW w:type="dxa" w:w="2160"/>
          </w:tcPr>
          <w:p>
            <w:r>
              <w:t>Art. 111</w:t>
            </w:r>
          </w:p>
        </w:tc>
        <w:tc>
          <w:tcPr>
            <w:tcW w:type="dxa" w:w="2160"/>
          </w:tcPr>
          <w:p>
            <w:r>
              <w:t>Art. 32</w:t>
            </w:r>
          </w:p>
        </w:tc>
        <w:tc>
          <w:tcPr>
            <w:tcW w:type="dxa" w:w="2160"/>
          </w:tcPr>
          <w:p>
            <w:r>
              <w:t>-</w:t>
            </w:r>
          </w:p>
        </w:tc>
        <w:tc>
          <w:tcPr>
            <w:tcW w:type="dxa" w:w="2160"/>
          </w:tcPr>
          <w:p>
            <w:r>
              <w:t>-</w:t>
            </w:r>
          </w:p>
        </w:tc>
      </w:tr>
      <w:tr>
        <w:tc>
          <w:tcPr>
            <w:tcW w:type="dxa" w:w="2160"/>
          </w:tcPr>
          <w:p>
            <w:r>
              <w:t>Art. 112</w:t>
            </w:r>
          </w:p>
        </w:tc>
        <w:tc>
          <w:tcPr>
            <w:tcW w:type="dxa" w:w="2160"/>
          </w:tcPr>
          <w:p>
            <w:r>
              <w:t>Art. 33</w:t>
            </w:r>
          </w:p>
        </w:tc>
        <w:tc>
          <w:tcPr>
            <w:tcW w:type="dxa" w:w="2160"/>
          </w:tcPr>
          <w:p>
            <w:r>
              <w:t>-</w:t>
            </w:r>
          </w:p>
        </w:tc>
        <w:tc>
          <w:tcPr>
            <w:tcW w:type="dxa" w:w="2160"/>
          </w:tcPr>
          <w:p>
            <w:r>
              <w:t>-</w:t>
            </w:r>
          </w:p>
        </w:tc>
      </w:tr>
      <w:tr>
        <w:tc>
          <w:tcPr>
            <w:tcW w:type="dxa" w:w="2160"/>
          </w:tcPr>
          <w:p>
            <w:r>
              <w:t>Art. 113</w:t>
            </w:r>
          </w:p>
        </w:tc>
        <w:tc>
          <w:tcPr>
            <w:tcW w:type="dxa" w:w="2160"/>
          </w:tcPr>
          <w:p>
            <w:r>
              <w:t>Art. 33 Para. 4</w:t>
            </w:r>
          </w:p>
        </w:tc>
        <w:tc>
          <w:tcPr>
            <w:tcW w:type="dxa" w:w="2160"/>
          </w:tcPr>
          <w:p>
            <w:r>
              <w:t>Art. 85</w:t>
            </w:r>
          </w:p>
        </w:tc>
        <w:tc>
          <w:tcPr>
            <w:tcW w:type="dxa" w:w="2160"/>
          </w:tcPr>
          <w:p>
            <w:r>
              <w:t>-</w:t>
            </w:r>
          </w:p>
        </w:tc>
      </w:tr>
      <w:tr>
        <w:tc>
          <w:tcPr>
            <w:tcW w:type="dxa" w:w="2160"/>
          </w:tcPr>
          <w:p>
            <w:r>
              <w:t>Art. 114</w:t>
            </w:r>
          </w:p>
        </w:tc>
        <w:tc>
          <w:tcPr>
            <w:tcW w:type="dxa" w:w="2160"/>
          </w:tcPr>
          <w:p>
            <w:r>
              <w:t>Art. 1 Para. 2</w:t>
            </w:r>
          </w:p>
        </w:tc>
        <w:tc>
          <w:tcPr>
            <w:tcW w:type="dxa" w:w="2160"/>
          </w:tcPr>
          <w:p>
            <w:r>
              <w:t>-</w:t>
            </w:r>
          </w:p>
        </w:tc>
        <w:tc>
          <w:tcPr>
            <w:tcW w:type="dxa" w:w="2160"/>
          </w:tcPr>
          <w:p>
            <w:r>
              <w:t>-</w:t>
            </w:r>
          </w:p>
        </w:tc>
      </w:tr>
      <w:tr>
        <w:tc>
          <w:tcPr>
            <w:tcW w:type="dxa" w:w="2160"/>
          </w:tcPr>
          <w:p>
            <w:r>
              <w:t>Art. 115</w:t>
            </w:r>
          </w:p>
        </w:tc>
        <w:tc>
          <w:tcPr>
            <w:tcW w:type="dxa" w:w="2160"/>
          </w:tcPr>
          <w:p>
            <w:r>
              <w:t>Art. 5</w:t>
            </w:r>
          </w:p>
        </w:tc>
        <w:tc>
          <w:tcPr>
            <w:tcW w:type="dxa" w:w="2160"/>
          </w:tcPr>
          <w:p>
            <w:r>
              <w:t>-</w:t>
            </w:r>
          </w:p>
        </w:tc>
        <w:tc>
          <w:tcPr>
            <w:tcW w:type="dxa" w:w="2160"/>
          </w:tcPr>
          <w:p>
            <w:r>
              <w:t>-</w:t>
            </w:r>
          </w:p>
        </w:tc>
      </w:tr>
      <w:tr>
        <w:tc>
          <w:tcPr>
            <w:tcW w:type="dxa" w:w="2160"/>
          </w:tcPr>
          <w:p>
            <w:r>
              <w:t>Art. 116</w:t>
            </w:r>
          </w:p>
        </w:tc>
        <w:tc>
          <w:tcPr>
            <w:tcW w:type="dxa" w:w="2160"/>
          </w:tcPr>
          <w:p>
            <w:r>
              <w:t>Art. 20</w:t>
            </w:r>
          </w:p>
        </w:tc>
        <w:tc>
          <w:tcPr>
            <w:tcW w:type="dxa" w:w="2160"/>
          </w:tcPr>
          <w:p>
            <w:r>
              <w:t>-</w:t>
            </w:r>
          </w:p>
        </w:tc>
        <w:tc>
          <w:tcPr>
            <w:tcW w:type="dxa" w:w="2160"/>
          </w:tcPr>
          <w:p>
            <w:r>
              <w:t>Art. 5 Para. 4, Sub. 3</w:t>
            </w:r>
          </w:p>
        </w:tc>
      </w:tr>
      <w:tr>
        <w:tc>
          <w:tcPr>
            <w:tcW w:type="dxa" w:w="2160"/>
          </w:tcPr>
          <w:p>
            <w:r>
              <w:t>Art. 116 Para. 2</w:t>
            </w:r>
          </w:p>
        </w:tc>
        <w:tc>
          <w:tcPr>
            <w:tcW w:type="dxa" w:w="2160"/>
          </w:tcPr>
          <w:p>
            <w:r>
              <w:t>Art. 20</w:t>
            </w:r>
          </w:p>
        </w:tc>
        <w:tc>
          <w:tcPr>
            <w:tcW w:type="dxa" w:w="2160"/>
          </w:tcPr>
          <w:p>
            <w:r>
              <w:t>-</w:t>
            </w:r>
          </w:p>
        </w:tc>
        <w:tc>
          <w:tcPr>
            <w:tcW w:type="dxa" w:w="2160"/>
          </w:tcPr>
          <w:p>
            <w:r>
              <w:t>Art. 5 Para. 5</w:t>
            </w:r>
          </w:p>
        </w:tc>
      </w:tr>
      <w:tr>
        <w:tc>
          <w:tcPr>
            <w:tcW w:type="dxa" w:w="2160"/>
          </w:tcPr>
          <w:p>
            <w:r>
              <w:t>Art. 117</w:t>
            </w:r>
          </w:p>
        </w:tc>
        <w:tc>
          <w:tcPr>
            <w:tcW w:type="dxa" w:w="2160"/>
          </w:tcPr>
          <w:p>
            <w:r>
              <w:t>Art. 10, 11, 12</w:t>
            </w:r>
          </w:p>
        </w:tc>
        <w:tc>
          <w:tcPr>
            <w:tcW w:type="dxa" w:w="2160"/>
          </w:tcPr>
          <w:p>
            <w:r>
              <w:t>-</w:t>
            </w:r>
          </w:p>
        </w:tc>
        <w:tc>
          <w:tcPr>
            <w:tcW w:type="dxa" w:w="2160"/>
          </w:tcPr>
          <w:p>
            <w:r>
              <w:t>-</w:t>
            </w:r>
          </w:p>
        </w:tc>
      </w:tr>
      <w:tr>
        <w:tc>
          <w:tcPr>
            <w:tcW w:type="dxa" w:w="2160"/>
          </w:tcPr>
          <w:p>
            <w:r>
              <w:t>Art. 118</w:t>
            </w:r>
          </w:p>
        </w:tc>
        <w:tc>
          <w:tcPr>
            <w:tcW w:type="dxa" w:w="2160"/>
          </w:tcPr>
          <w:p>
            <w:r>
              <w:t>Art. 8</w:t>
            </w:r>
          </w:p>
        </w:tc>
        <w:tc>
          <w:tcPr>
            <w:tcW w:type="dxa" w:w="2160"/>
          </w:tcPr>
          <w:p>
            <w:r>
              <w:t>-</w:t>
            </w:r>
          </w:p>
        </w:tc>
        <w:tc>
          <w:tcPr>
            <w:tcW w:type="dxa" w:w="2160"/>
          </w:tcPr>
          <w:p>
            <w:r>
              <w:t>-</w:t>
            </w:r>
          </w:p>
        </w:tc>
      </w:tr>
      <w:tr>
        <w:tc>
          <w:tcPr>
            <w:tcW w:type="dxa" w:w="2160"/>
          </w:tcPr>
          <w:p>
            <w:r>
              <w:t>Art. 119</w:t>
            </w:r>
          </w:p>
        </w:tc>
        <w:tc>
          <w:tcPr>
            <w:tcW w:type="dxa" w:w="2160"/>
          </w:tcPr>
          <w:p>
            <w:r>
              <w:t>Art. 53</w:t>
            </w:r>
          </w:p>
        </w:tc>
        <w:tc>
          <w:tcPr>
            <w:tcW w:type="dxa" w:w="2160"/>
          </w:tcPr>
          <w:p>
            <w:r>
              <w:t>-</w:t>
            </w:r>
          </w:p>
        </w:tc>
        <w:tc>
          <w:tcPr>
            <w:tcW w:type="dxa" w:w="2160"/>
          </w:tcPr>
          <w:p>
            <w:r>
              <w:t>-</w:t>
            </w:r>
          </w:p>
        </w:tc>
      </w:tr>
      <w:tr>
        <w:tc>
          <w:tcPr>
            <w:tcW w:type="dxa" w:w="2160"/>
          </w:tcPr>
          <w:p>
            <w:r>
              <w:t>Art. 120</w:t>
            </w:r>
          </w:p>
        </w:tc>
        <w:tc>
          <w:tcPr>
            <w:tcW w:type="dxa" w:w="2160"/>
          </w:tcPr>
          <w:p>
            <w:r>
              <w:t>-</w:t>
            </w:r>
          </w:p>
        </w:tc>
        <w:tc>
          <w:tcPr>
            <w:tcW w:type="dxa" w:w="2160"/>
          </w:tcPr>
          <w:p>
            <w:r>
              <w:t>-</w:t>
            </w:r>
          </w:p>
        </w:tc>
        <w:tc>
          <w:tcPr>
            <w:tcW w:type="dxa" w:w="2160"/>
          </w:tcPr>
          <w:p>
            <w:r>
              <w:t>-</w:t>
            </w:r>
          </w:p>
        </w:tc>
      </w:tr>
      <w:tr>
        <w:tc>
          <w:tcPr>
            <w:tcW w:type="dxa" w:w="2160"/>
          </w:tcPr>
          <w:p>
            <w:r>
              <w:t>Art. 121</w:t>
            </w:r>
          </w:p>
        </w:tc>
        <w:tc>
          <w:tcPr>
            <w:tcW w:type="dxa" w:w="2160"/>
          </w:tcPr>
          <w:p>
            <w:r>
              <w:t>-</w:t>
            </w:r>
          </w:p>
        </w:tc>
        <w:tc>
          <w:tcPr>
            <w:tcW w:type="dxa" w:w="2160"/>
          </w:tcPr>
          <w:p>
            <w:r>
              <w:t>-</w:t>
            </w:r>
          </w:p>
        </w:tc>
        <w:tc>
          <w:tcPr>
            <w:tcW w:type="dxa" w:w="2160"/>
          </w:tcPr>
          <w:p>
            <w:r>
              <w:t>-</w:t>
            </w:r>
          </w:p>
        </w:tc>
      </w:tr>
      <w:tr>
        <w:tc>
          <w:tcPr>
            <w:tcW w:type="dxa" w:w="2160"/>
          </w:tcPr>
          <w:p>
            <w:r>
              <w:t>Art. 122</w:t>
            </w:r>
          </w:p>
        </w:tc>
        <w:tc>
          <w:tcPr>
            <w:tcW w:type="dxa" w:w="2160"/>
          </w:tcPr>
          <w:p>
            <w:r>
              <w:t>Art. 18</w:t>
            </w:r>
          </w:p>
        </w:tc>
        <w:tc>
          <w:tcPr>
            <w:tcW w:type="dxa" w:w="2160"/>
          </w:tcPr>
          <w:p>
            <w:r>
              <w:t>-</w:t>
            </w:r>
          </w:p>
        </w:tc>
        <w:tc>
          <w:tcPr>
            <w:tcW w:type="dxa" w:w="2160"/>
          </w:tcPr>
          <w:p>
            <w:r>
              <w:t>-</w:t>
            </w:r>
          </w:p>
        </w:tc>
      </w:tr>
      <w:tr>
        <w:tc>
          <w:tcPr>
            <w:tcW w:type="dxa" w:w="2160"/>
          </w:tcPr>
          <w:p>
            <w:r>
              <w:t>Art. 123</w:t>
            </w:r>
          </w:p>
        </w:tc>
        <w:tc>
          <w:tcPr>
            <w:tcW w:type="dxa" w:w="2160"/>
          </w:tcPr>
          <w:p>
            <w:r>
              <w:t>Art. 41</w:t>
            </w:r>
          </w:p>
        </w:tc>
        <w:tc>
          <w:tcPr>
            <w:tcW w:type="dxa" w:w="2160"/>
          </w:tcPr>
          <w:p>
            <w:r>
              <w:t>-</w:t>
            </w:r>
          </w:p>
        </w:tc>
        <w:tc>
          <w:tcPr>
            <w:tcW w:type="dxa" w:w="2160"/>
          </w:tcPr>
          <w:p>
            <w:r>
              <w:t>-</w:t>
            </w:r>
          </w:p>
        </w:tc>
      </w:tr>
      <w:tr>
        <w:tc>
          <w:tcPr>
            <w:tcW w:type="dxa" w:w="2160"/>
          </w:tcPr>
          <w:p>
            <w:r>
              <w:t>Art. 124</w:t>
            </w:r>
          </w:p>
        </w:tc>
        <w:tc>
          <w:tcPr>
            <w:tcW w:type="dxa" w:w="2160"/>
          </w:tcPr>
          <w:p>
            <w:r>
              <w:t>-</w:t>
            </w:r>
          </w:p>
        </w:tc>
        <w:tc>
          <w:tcPr>
            <w:tcW w:type="dxa" w:w="2160"/>
          </w:tcPr>
          <w:p>
            <w:r>
              <w:t>-</w:t>
            </w:r>
          </w:p>
        </w:tc>
        <w:tc>
          <w:tcPr>
            <w:tcW w:type="dxa" w:w="2160"/>
          </w:tcPr>
          <w:p>
            <w:r>
              <w:t>-</w:t>
            </w:r>
          </w:p>
        </w:tc>
      </w:tr>
      <w:tr>
        <w:tc>
          <w:tcPr>
            <w:tcW w:type="dxa" w:w="2160"/>
          </w:tcPr>
          <w:p>
            <w:r>
              <w:t>Art. 125</w:t>
            </w:r>
          </w:p>
        </w:tc>
        <w:tc>
          <w:tcPr>
            <w:tcW w:type="dxa" w:w="2160"/>
          </w:tcPr>
          <w:p>
            <w:r>
              <w:t>Art. 43</w:t>
            </w:r>
          </w:p>
        </w:tc>
        <w:tc>
          <w:tcPr>
            <w:tcW w:type="dxa" w:w="2160"/>
          </w:tcPr>
          <w:p>
            <w:r>
              <w:t>-</w:t>
            </w:r>
          </w:p>
        </w:tc>
        <w:tc>
          <w:tcPr>
            <w:tcW w:type="dxa" w:w="2160"/>
          </w:tcPr>
          <w:p>
            <w:r>
              <w:t>-</w:t>
            </w:r>
          </w:p>
        </w:tc>
      </w:tr>
      <w:tr>
        <w:tc>
          <w:tcPr>
            <w:tcW w:type="dxa" w:w="2160"/>
          </w:tcPr>
          <w:p>
            <w:r>
              <w:t>Art. 126</w:t>
            </w:r>
          </w:p>
        </w:tc>
        <w:tc>
          <w:tcPr>
            <w:tcW w:type="dxa" w:w="2160"/>
          </w:tcPr>
          <w:p>
            <w:r>
              <w:t>Art. 44</w:t>
            </w:r>
          </w:p>
        </w:tc>
        <w:tc>
          <w:tcPr>
            <w:tcW w:type="dxa" w:w="2160"/>
          </w:tcPr>
          <w:p>
            <w:r>
              <w:t>-</w:t>
            </w:r>
          </w:p>
        </w:tc>
        <w:tc>
          <w:tcPr>
            <w:tcW w:type="dxa" w:w="2160"/>
          </w:tcPr>
          <w:p>
            <w:r>
              <w:t>-</w:t>
            </w:r>
          </w:p>
        </w:tc>
      </w:tr>
      <w:tr>
        <w:tc>
          <w:tcPr>
            <w:tcW w:type="dxa" w:w="2160"/>
          </w:tcPr>
          <w:p>
            <w:r>
              <w:t>Art. 127</w:t>
            </w:r>
          </w:p>
        </w:tc>
        <w:tc>
          <w:tcPr>
            <w:tcW w:type="dxa" w:w="2160"/>
          </w:tcPr>
          <w:p>
            <w:r>
              <w:t>-</w:t>
            </w:r>
          </w:p>
        </w:tc>
        <w:tc>
          <w:tcPr>
            <w:tcW w:type="dxa" w:w="2160"/>
          </w:tcPr>
          <w:p>
            <w:r>
              <w:t>-</w:t>
            </w:r>
          </w:p>
        </w:tc>
        <w:tc>
          <w:tcPr>
            <w:tcW w:type="dxa" w:w="2160"/>
          </w:tcPr>
          <w:p>
            <w:r>
              <w:t>-</w:t>
            </w:r>
          </w:p>
        </w:tc>
      </w:tr>
      <w:tr>
        <w:tc>
          <w:tcPr>
            <w:tcW w:type="dxa" w:w="2160"/>
          </w:tcPr>
          <w:p>
            <w:r>
              <w:t>Art. 128</w:t>
            </w:r>
          </w:p>
        </w:tc>
        <w:tc>
          <w:tcPr>
            <w:tcW w:type="dxa" w:w="2160"/>
          </w:tcPr>
          <w:p>
            <w:r>
              <w:t>-</w:t>
            </w:r>
          </w:p>
        </w:tc>
        <w:tc>
          <w:tcPr>
            <w:tcW w:type="dxa" w:w="2160"/>
          </w:tcPr>
          <w:p>
            <w:r>
              <w:t>-</w:t>
            </w:r>
          </w:p>
        </w:tc>
        <w:tc>
          <w:tcPr>
            <w:tcW w:type="dxa" w:w="2160"/>
          </w:tcPr>
          <w:p>
            <w:r>
              <w:t>-</w:t>
            </w:r>
          </w:p>
        </w:tc>
      </w:tr>
      <w:tr>
        <w:tc>
          <w:tcPr>
            <w:tcW w:type="dxa" w:w="2160"/>
          </w:tcPr>
          <w:p>
            <w:r>
              <w:t>Art. 129</w:t>
            </w:r>
          </w:p>
        </w:tc>
        <w:tc>
          <w:tcPr>
            <w:tcW w:type="dxa" w:w="2160"/>
          </w:tcPr>
          <w:p>
            <w:r>
              <w:t>-</w:t>
            </w:r>
          </w:p>
        </w:tc>
        <w:tc>
          <w:tcPr>
            <w:tcW w:type="dxa" w:w="2160"/>
          </w:tcPr>
          <w:p>
            <w:r>
              <w:t>-</w:t>
            </w:r>
          </w:p>
        </w:tc>
        <w:tc>
          <w:tcPr>
            <w:tcW w:type="dxa" w:w="2160"/>
          </w:tcPr>
          <w:p>
            <w:r>
              <w:t>-</w:t>
            </w:r>
          </w:p>
        </w:tc>
      </w:tr>
      <w:tr>
        <w:tc>
          <w:tcPr>
            <w:tcW w:type="dxa" w:w="2160"/>
          </w:tcPr>
          <w:p>
            <w:r>
              <w:t>Art. 130</w:t>
            </w:r>
          </w:p>
        </w:tc>
        <w:tc>
          <w:tcPr>
            <w:tcW w:type="dxa" w:w="2160"/>
          </w:tcPr>
          <w:p>
            <w:r>
              <w:t>-</w:t>
            </w:r>
          </w:p>
        </w:tc>
        <w:tc>
          <w:tcPr>
            <w:tcW w:type="dxa" w:w="2160"/>
          </w:tcPr>
          <w:p>
            <w:r>
              <w:t>-</w:t>
            </w:r>
          </w:p>
        </w:tc>
        <w:tc>
          <w:tcPr>
            <w:tcW w:type="dxa" w:w="2160"/>
          </w:tcPr>
          <w:p>
            <w:r>
              <w:t>-</w:t>
            </w:r>
          </w:p>
        </w:tc>
      </w:tr>
      <w:tr>
        <w:tc>
          <w:tcPr>
            <w:tcW w:type="dxa" w:w="2160"/>
          </w:tcPr>
          <w:p>
            <w:r>
              <w:t>Art. 131</w:t>
            </w:r>
          </w:p>
        </w:tc>
        <w:tc>
          <w:tcPr>
            <w:tcW w:type="dxa" w:w="2160"/>
          </w:tcPr>
          <w:p>
            <w:r>
              <w:t>-</w:t>
            </w:r>
          </w:p>
        </w:tc>
        <w:tc>
          <w:tcPr>
            <w:tcW w:type="dxa" w:w="2160"/>
          </w:tcPr>
          <w:p>
            <w:r>
              <w:t>-</w:t>
            </w:r>
          </w:p>
        </w:tc>
        <w:tc>
          <w:tcPr>
            <w:tcW w:type="dxa" w:w="2160"/>
          </w:tcPr>
          <w:p>
            <w:r>
              <w:t>-</w:t>
            </w:r>
          </w:p>
        </w:tc>
      </w:tr>
      <w:tr>
        <w:tc>
          <w:tcPr>
            <w:tcW w:type="dxa" w:w="2160"/>
          </w:tcPr>
          <w:p>
            <w:r>
              <w:t>Art. 132</w:t>
            </w:r>
          </w:p>
        </w:tc>
        <w:tc>
          <w:tcPr>
            <w:tcW w:type="dxa" w:w="2160"/>
          </w:tcPr>
          <w:p>
            <w:r>
              <w:t>-</w:t>
            </w:r>
          </w:p>
        </w:tc>
        <w:tc>
          <w:tcPr>
            <w:tcW w:type="dxa" w:w="2160"/>
          </w:tcPr>
          <w:p>
            <w:r>
              <w:t>-</w:t>
            </w:r>
          </w:p>
        </w:tc>
        <w:tc>
          <w:tcPr>
            <w:tcW w:type="dxa" w:w="2160"/>
          </w:tcPr>
          <w:p>
            <w:r>
              <w:t>-</w:t>
            </w:r>
          </w:p>
        </w:tc>
      </w:tr>
      <w:tr>
        <w:tc>
          <w:tcPr>
            <w:tcW w:type="dxa" w:w="2160"/>
          </w:tcPr>
          <w:p>
            <w:r>
              <w:t>Art. 133</w:t>
            </w:r>
          </w:p>
        </w:tc>
        <w:tc>
          <w:tcPr>
            <w:tcW w:type="dxa" w:w="2160"/>
          </w:tcPr>
          <w:p>
            <w:r>
              <w:t>-</w:t>
            </w:r>
          </w:p>
        </w:tc>
        <w:tc>
          <w:tcPr>
            <w:tcW w:type="dxa" w:w="2160"/>
          </w:tcPr>
          <w:p>
            <w:r>
              <w:t>-</w:t>
            </w:r>
          </w:p>
        </w:tc>
        <w:tc>
          <w:tcPr>
            <w:tcW w:type="dxa" w:w="2160"/>
          </w:tcPr>
          <w:p>
            <w:r>
              <w:t>-</w:t>
            </w:r>
          </w:p>
        </w:tc>
      </w:tr>
      <w:tr>
        <w:tc>
          <w:tcPr>
            <w:tcW w:type="dxa" w:w="2160"/>
          </w:tcPr>
          <w:p>
            <w:r>
              <w:t>Art. 134</w:t>
            </w:r>
          </w:p>
        </w:tc>
        <w:tc>
          <w:tcPr>
            <w:tcW w:type="dxa" w:w="2160"/>
          </w:tcPr>
          <w:p>
            <w:r>
              <w:t>-</w:t>
            </w:r>
          </w:p>
        </w:tc>
        <w:tc>
          <w:tcPr>
            <w:tcW w:type="dxa" w:w="2160"/>
          </w:tcPr>
          <w:p>
            <w:r>
              <w:t>-</w:t>
            </w:r>
          </w:p>
        </w:tc>
        <w:tc>
          <w:tcPr>
            <w:tcW w:type="dxa" w:w="2160"/>
          </w:tcPr>
          <w:p>
            <w:r>
              <w:t>-</w:t>
            </w:r>
          </w:p>
        </w:tc>
      </w:tr>
      <w:tr>
        <w:tc>
          <w:tcPr>
            <w:tcW w:type="dxa" w:w="2160"/>
          </w:tcPr>
          <w:p>
            <w:r>
              <w:t>Art. 135</w:t>
            </w:r>
          </w:p>
        </w:tc>
        <w:tc>
          <w:tcPr>
            <w:tcW w:type="dxa" w:w="2160"/>
          </w:tcPr>
          <w:p>
            <w:r>
              <w:t>-</w:t>
            </w:r>
          </w:p>
        </w:tc>
        <w:tc>
          <w:tcPr>
            <w:tcW w:type="dxa" w:w="2160"/>
          </w:tcPr>
          <w:p>
            <w:r>
              <w:t>-</w:t>
            </w:r>
          </w:p>
        </w:tc>
        <w:tc>
          <w:tcPr>
            <w:tcW w:type="dxa" w:w="2160"/>
          </w:tcPr>
          <w:p>
            <w:r>
              <w:t>-</w:t>
            </w:r>
          </w:p>
        </w:tc>
      </w:tr>
      <w:tr>
        <w:tc>
          <w:tcPr>
            <w:tcW w:type="dxa" w:w="2160"/>
          </w:tcPr>
          <w:p>
            <w:r>
              <w:t>Art. 136</w:t>
            </w:r>
          </w:p>
        </w:tc>
        <w:tc>
          <w:tcPr>
            <w:tcW w:type="dxa" w:w="2160"/>
          </w:tcPr>
          <w:p>
            <w:r>
              <w:t>-</w:t>
            </w:r>
          </w:p>
        </w:tc>
        <w:tc>
          <w:tcPr>
            <w:tcW w:type="dxa" w:w="2160"/>
          </w:tcPr>
          <w:p>
            <w:r>
              <w:t>-</w:t>
            </w:r>
          </w:p>
        </w:tc>
        <w:tc>
          <w:tcPr>
            <w:tcW w:type="dxa" w:w="2160"/>
          </w:tcPr>
          <w:p>
            <w:r>
              <w:t>-</w:t>
            </w:r>
          </w:p>
        </w:tc>
      </w:tr>
      <w:tr>
        <w:tc>
          <w:tcPr>
            <w:tcW w:type="dxa" w:w="2160"/>
          </w:tcPr>
          <w:p>
            <w:r>
              <w:t>Art. 137</w:t>
            </w:r>
          </w:p>
        </w:tc>
        <w:tc>
          <w:tcPr>
            <w:tcW w:type="dxa" w:w="2160"/>
          </w:tcPr>
          <w:p>
            <w:r>
              <w:t>Art. 45</w:t>
            </w:r>
          </w:p>
        </w:tc>
        <w:tc>
          <w:tcPr>
            <w:tcW w:type="dxa" w:w="2160"/>
          </w:tcPr>
          <w:p>
            <w:r>
              <w:t>Art. 83</w:t>
            </w:r>
          </w:p>
        </w:tc>
        <w:tc>
          <w:tcPr>
            <w:tcW w:type="dxa" w:w="2160"/>
          </w:tcPr>
          <w:p>
            <w:r>
              <w:t>Art. 99 Para. 2</w:t>
            </w:r>
          </w:p>
        </w:tc>
      </w:tr>
      <w:tr>
        <w:tc>
          <w:tcPr>
            <w:tcW w:type="dxa" w:w="2160"/>
          </w:tcPr>
          <w:p>
            <w:r>
              <w:t>Art. 138</w:t>
            </w:r>
          </w:p>
        </w:tc>
        <w:tc>
          <w:tcPr>
            <w:tcW w:type="dxa" w:w="2160"/>
          </w:tcPr>
          <w:p>
            <w:r>
              <w:t>-</w:t>
            </w:r>
          </w:p>
        </w:tc>
        <w:tc>
          <w:tcPr>
            <w:tcW w:type="dxa" w:w="2160"/>
          </w:tcPr>
          <w:p>
            <w:r>
              <w:t>-</w:t>
            </w:r>
          </w:p>
        </w:tc>
        <w:tc>
          <w:tcPr>
            <w:tcW w:type="dxa" w:w="2160"/>
          </w:tcPr>
          <w:p>
            <w:r>
              <w:t>-</w:t>
            </w:r>
          </w:p>
        </w:tc>
      </w:tr>
      <w:tr>
        <w:tc>
          <w:tcPr>
            <w:tcW w:type="dxa" w:w="2160"/>
          </w:tcPr>
          <w:p>
            <w:r>
              <w:t>Art. 139</w:t>
            </w:r>
          </w:p>
        </w:tc>
        <w:tc>
          <w:tcPr>
            <w:tcW w:type="dxa" w:w="2160"/>
          </w:tcPr>
          <w:p>
            <w:r>
              <w:t>-</w:t>
            </w:r>
          </w:p>
        </w:tc>
        <w:tc>
          <w:tcPr>
            <w:tcW w:type="dxa" w:w="2160"/>
          </w:tcPr>
          <w:p>
            <w:r>
              <w:t>-</w:t>
            </w:r>
          </w:p>
        </w:tc>
        <w:tc>
          <w:tcPr>
            <w:tcW w:type="dxa" w:w="2160"/>
          </w:tcPr>
          <w:p>
            <w:r>
              <w:t>Recital 127</w:t>
            </w:r>
          </w:p>
        </w:tc>
      </w:tr>
      <w:tr>
        <w:tc>
          <w:tcPr>
            <w:tcW w:type="dxa" w:w="2160"/>
          </w:tcPr>
          <w:p>
            <w:r>
              <w:t>Art. 140</w:t>
            </w:r>
          </w:p>
        </w:tc>
        <w:tc>
          <w:tcPr>
            <w:tcW w:type="dxa" w:w="2160"/>
          </w:tcPr>
          <w:p>
            <w:r>
              <w:t>Art. 35</w:t>
            </w:r>
          </w:p>
        </w:tc>
        <w:tc>
          <w:tcPr>
            <w:tcW w:type="dxa" w:w="2160"/>
          </w:tcPr>
          <w:p>
            <w:r>
              <w:t>-</w:t>
            </w:r>
          </w:p>
        </w:tc>
        <w:tc>
          <w:tcPr>
            <w:tcW w:type="dxa" w:w="2160"/>
          </w:tcPr>
          <w:p>
            <w:r>
              <w:t>-</w:t>
            </w:r>
          </w:p>
        </w:tc>
      </w:tr>
      <w:tr>
        <w:tc>
          <w:tcPr>
            <w:tcW w:type="dxa" w:w="2160"/>
          </w:tcPr>
          <w:p>
            <w:r>
              <w:t>Art. 141</w:t>
            </w:r>
          </w:p>
        </w:tc>
        <w:tc>
          <w:tcPr>
            <w:tcW w:type="dxa" w:w="2160"/>
          </w:tcPr>
          <w:p>
            <w:r>
              <w:t>Art. 48</w:t>
            </w:r>
          </w:p>
        </w:tc>
        <w:tc>
          <w:tcPr>
            <w:tcW w:type="dxa" w:w="2160"/>
          </w:tcPr>
          <w:p>
            <w:r>
              <w:t>Art. 87</w:t>
            </w:r>
          </w:p>
        </w:tc>
        <w:tc>
          <w:tcPr>
            <w:tcW w:type="dxa" w:w="2160"/>
          </w:tcPr>
          <w:p>
            <w:r>
              <w:t>Art. 103</w:t>
            </w:r>
          </w:p>
        </w:tc>
      </w:tr>
      <w:tr>
        <w:tc>
          <w:tcPr>
            <w:tcW w:type="dxa" w:w="2160"/>
          </w:tcPr>
          <w:p>
            <w:r>
              <w:t>Art. 142</w:t>
            </w:r>
          </w:p>
        </w:tc>
        <w:tc>
          <w:tcPr>
            <w:tcW w:type="dxa" w:w="2160"/>
          </w:tcPr>
          <w:p>
            <w:r>
              <w:t>Art. 49</w:t>
            </w:r>
          </w:p>
        </w:tc>
        <w:tc>
          <w:tcPr>
            <w:tcW w:type="dxa" w:w="2160"/>
          </w:tcPr>
          <w:p>
            <w:r>
              <w:t>Art. 88</w:t>
            </w:r>
          </w:p>
        </w:tc>
        <w:tc>
          <w:tcPr>
            <w:tcW w:type="dxa" w:w="2160"/>
          </w:tcPr>
          <w:p>
            <w:r>
              <w:t>Art. 104</w:t>
            </w:r>
          </w:p>
        </w:tc>
      </w:tr>
      <w:tr>
        <w:tc>
          <w:tcPr>
            <w:tcW w:type="dxa" w:w="2160"/>
          </w:tcPr>
          <w:p>
            <w:r>
              <w:t>Art. 143</w:t>
            </w:r>
          </w:p>
        </w:tc>
        <w:tc>
          <w:tcPr>
            <w:tcW w:type="dxa" w:w="2160"/>
          </w:tcPr>
          <w:p>
            <w:r>
              <w:t>Art. 50</w:t>
            </w:r>
          </w:p>
        </w:tc>
        <w:tc>
          <w:tcPr>
            <w:tcW w:type="dxa" w:w="2160"/>
          </w:tcPr>
          <w:p>
            <w:r>
              <w:t>Art. 89</w:t>
            </w:r>
          </w:p>
        </w:tc>
        <w:tc>
          <w:tcPr>
            <w:tcW w:type="dxa" w:w="2160"/>
          </w:tcPr>
          <w:p>
            <w:r>
              <w:t>Art. 105</w:t>
            </w:r>
          </w:p>
        </w:tc>
      </w:tr>
      <w:tr>
        <w:tc>
          <w:tcPr>
            <w:tcW w:type="dxa" w:w="2160"/>
          </w:tcPr>
          <w:p>
            <w:r>
              <w:t>Art. 144</w:t>
            </w:r>
          </w:p>
        </w:tc>
        <w:tc>
          <w:tcPr>
            <w:tcW w:type="dxa" w:w="2160"/>
          </w:tcPr>
          <w:p>
            <w:r>
              <w:t>-</w:t>
            </w:r>
          </w:p>
        </w:tc>
        <w:tc>
          <w:tcPr>
            <w:tcW w:type="dxa" w:w="2160"/>
          </w:tcPr>
          <w:p>
            <w:r>
              <w:t>-</w:t>
            </w:r>
          </w:p>
        </w:tc>
        <w:tc>
          <w:tcPr>
            <w:tcW w:type="dxa" w:w="2160"/>
          </w:tcPr>
          <w:p>
            <w:r>
              <w:t>-</w:t>
            </w:r>
          </w:p>
        </w:tc>
      </w:tr>
      <w:tr>
        <w:tc>
          <w:tcPr>
            <w:tcW w:type="dxa" w:w="2160"/>
          </w:tcPr>
          <w:p>
            <w:r>
              <w:t>Art. 145</w:t>
            </w:r>
          </w:p>
        </w:tc>
        <w:tc>
          <w:tcPr>
            <w:tcW w:type="dxa" w:w="2160"/>
          </w:tcPr>
          <w:p>
            <w:r>
              <w:t>-</w:t>
            </w:r>
          </w:p>
        </w:tc>
        <w:tc>
          <w:tcPr>
            <w:tcW w:type="dxa" w:w="2160"/>
          </w:tcPr>
          <w:p>
            <w:r>
              <w:t>-</w:t>
            </w:r>
          </w:p>
        </w:tc>
        <w:tc>
          <w:tcPr>
            <w:tcW w:type="dxa" w:w="2160"/>
          </w:tcPr>
          <w:p>
            <w:r>
              <w:t>-</w:t>
            </w:r>
          </w:p>
        </w:tc>
      </w:tr>
      <w:tr>
        <w:tc>
          <w:tcPr>
            <w:tcW w:type="dxa" w:w="2160"/>
          </w:tcPr>
          <w:p>
            <w:r>
              <w:t>Art. 146</w:t>
            </w:r>
          </w:p>
        </w:tc>
        <w:tc>
          <w:tcPr>
            <w:tcW w:type="dxa" w:w="2160"/>
          </w:tcPr>
          <w:p>
            <w:r>
              <w:t>-</w:t>
            </w:r>
          </w:p>
        </w:tc>
        <w:tc>
          <w:tcPr>
            <w:tcW w:type="dxa" w:w="2160"/>
          </w:tcPr>
          <w:p>
            <w:r>
              <w:t>Art. 91</w:t>
            </w:r>
          </w:p>
        </w:tc>
        <w:tc>
          <w:tcPr>
            <w:tcW w:type="dxa" w:w="2160"/>
          </w:tcPr>
          <w:p>
            <w:r>
              <w:t>Art. 107</w:t>
            </w:r>
          </w:p>
        </w:tc>
      </w:tr>
      <w:tr>
        <w:tc>
          <w:tcPr>
            <w:tcW w:type="dxa" w:w="2160"/>
          </w:tcPr>
          <w:p>
            <w:r>
              <w:t>Art. 147</w:t>
            </w:r>
          </w:p>
        </w:tc>
        <w:tc>
          <w:tcPr>
            <w:tcW w:type="dxa" w:w="2160"/>
          </w:tcPr>
          <w:p>
            <w:r>
              <w:t>-</w:t>
            </w:r>
          </w:p>
        </w:tc>
        <w:tc>
          <w:tcPr>
            <w:tcW w:type="dxa" w:w="2160"/>
          </w:tcPr>
          <w:p>
            <w:r>
              <w:t>-</w:t>
            </w:r>
          </w:p>
        </w:tc>
        <w:tc>
          <w:tcPr>
            <w:tcW w:type="dxa" w:w="2160"/>
          </w:tcPr>
          <w:p>
            <w:r>
              <w:t>-</w:t>
            </w:r>
          </w:p>
        </w:tc>
      </w:tr>
      <w:tr>
        <w:tc>
          <w:tcPr>
            <w:tcW w:type="dxa" w:w="2160"/>
          </w:tcPr>
          <w:p>
            <w:r>
              <w:t>Art. 148</w:t>
            </w:r>
          </w:p>
        </w:tc>
        <w:tc>
          <w:tcPr>
            <w:tcW w:type="dxa" w:w="2160"/>
          </w:tcPr>
          <w:p>
            <w:r>
              <w:t>Art. 53 Sub. 4</w:t>
            </w:r>
          </w:p>
        </w:tc>
        <w:tc>
          <w:tcPr>
            <w:tcW w:type="dxa" w:w="2160"/>
          </w:tcPr>
          <w:p>
            <w:r>
              <w:t>Art. 92</w:t>
            </w:r>
          </w:p>
        </w:tc>
        <w:tc>
          <w:tcPr>
            <w:tcW w:type="dxa" w:w="2160"/>
          </w:tcPr>
          <w:p>
            <w:r>
              <w:t>Art. 108</w:t>
            </w:r>
          </w:p>
        </w:tc>
      </w:tr>
      <w:tr>
        <w:tc>
          <w:tcPr>
            <w:tcW w:type="dxa" w:w="2160"/>
          </w:tcPr>
          <w:p>
            <w:r>
              <w:t>Art. 149</w:t>
            </w:r>
          </w:p>
        </w:tc>
        <w:tc>
          <w:tcPr>
            <w:tcW w:type="dxa" w:w="2160"/>
          </w:tcPr>
          <w:p>
            <w:r>
              <w:t>Art. 54</w:t>
            </w:r>
          </w:p>
        </w:tc>
        <w:tc>
          <w:tcPr>
            <w:tcW w:type="dxa" w:w="2160"/>
          </w:tcPr>
          <w:p>
            <w:r>
              <w:t>Art. 93</w:t>
            </w:r>
          </w:p>
        </w:tc>
        <w:tc>
          <w:tcPr>
            <w:tcW w:type="dxa" w:w="2160"/>
          </w:tcPr>
          <w:p>
            <w:r>
              <w:t>Art. 109</w:t>
            </w:r>
          </w:p>
        </w:tc>
      </w:tr>
      <w:tr>
        <w:tc>
          <w:tcPr>
            <w:tcW w:type="dxa" w:w="2160"/>
          </w:tcPr>
          <w:p>
            <w:r>
              <w:t>Deleted provision</w:t>
            </w:r>
          </w:p>
        </w:tc>
        <w:tc>
          <w:tcPr>
            <w:tcW w:type="dxa" w:w="2160"/>
          </w:tcPr>
          <w:p>
            <w:r>
              <w:t>This Regulation</w:t>
            </w:r>
          </w:p>
        </w:tc>
        <w:tc>
          <w:tcPr>
            <w:tcW w:type="dxa" w:w="2160"/>
          </w:tcPr>
          <w:p>
            <w:r/>
          </w:p>
        </w:tc>
        <w:tc>
          <w:tcPr>
            <w:tcW w:type="dxa" w:w="2160"/>
          </w:tcPr>
          <w:p>
            <w:r/>
          </w:p>
        </w:tc>
      </w:tr>
      <w:tr>
        <w:tc>
          <w:tcPr>
            <w:tcW w:type="dxa" w:w="2160"/>
          </w:tcPr>
          <w:p>
            <w:r>
              <w:t>Article 65 of Regulation (EU) 2024/1781</w:t>
            </w:r>
          </w:p>
        </w:tc>
        <w:tc>
          <w:tcPr>
            <w:tcW w:type="dxa" w:w="2160"/>
          </w:tcPr>
          <w:p>
            <w:r>
              <w:t>Article 54</w:t>
            </w:r>
          </w:p>
        </w:tc>
        <w:tc>
          <w:tcPr>
            <w:tcW w:type="dxa" w:w="2160"/>
          </w:tcPr>
          <w:p>
            <w:r/>
          </w:p>
        </w:tc>
        <w:tc>
          <w:tcPr>
            <w:tcW w:type="dxa" w:w="2160"/>
          </w:tcPr>
          <w:p>
            <w:r/>
          </w:p>
        </w:tc>
      </w:tr>
      <w:tr>
        <w:tc>
          <w:tcPr>
            <w:tcW w:type="dxa" w:w="2160"/>
          </w:tcPr>
          <w:p>
            <w:r>
              <w:t>Article 74(3), point (b) of Regulation (EU) 2024/1781</w:t>
            </w:r>
          </w:p>
        </w:tc>
        <w:tc>
          <w:tcPr>
            <w:tcW w:type="dxa" w:w="2160"/>
          </w:tcPr>
          <w:p>
            <w:r>
              <w:t>Article 26(1), point (a)</w:t>
            </w:r>
          </w:p>
        </w:tc>
        <w:tc>
          <w:tcPr>
            <w:tcW w:type="dxa" w:w="2160"/>
          </w:tcPr>
          <w:p>
            <w:r/>
          </w:p>
        </w:tc>
        <w:tc>
          <w:tcPr>
            <w:tcW w:type="dxa" w:w="2160"/>
          </w:tcPr>
          <w:p>
            <w:r/>
          </w:p>
        </w:tc>
      </w:tr>
      <w:tr>
        <w:tc>
          <w:tcPr>
            <w:tcW w:type="dxa" w:w="2160"/>
          </w:tcPr>
          <w:p>
            <w:r>
              <w:t>Article 25(4) and (5) of Regulation (EU) 2024/1735</w:t>
            </w:r>
          </w:p>
        </w:tc>
        <w:tc>
          <w:tcPr>
            <w:tcW w:type="dxa" w:w="2160"/>
          </w:tcPr>
          <w:p>
            <w:r>
              <w:t>Article 54</w:t>
            </w:r>
          </w:p>
        </w:tc>
        <w:tc>
          <w:tcPr>
            <w:tcW w:type="dxa" w:w="2160"/>
          </w:tcPr>
          <w:p>
            <w:r/>
          </w:p>
        </w:tc>
        <w:tc>
          <w:tcPr>
            <w:tcW w:type="dxa" w:w="2160"/>
          </w:tcPr>
          <w:p>
            <w:r/>
          </w:p>
        </w:tc>
      </w:tr>
      <w:tr>
        <w:tc>
          <w:tcPr>
            <w:tcW w:type="dxa" w:w="2160"/>
          </w:tcPr>
          <w:p>
            <w:r>
              <w:t>Article 85 of Regulation (EU) 2023/1542</w:t>
            </w:r>
          </w:p>
        </w:tc>
        <w:tc>
          <w:tcPr>
            <w:tcW w:type="dxa" w:w="2160"/>
          </w:tcPr>
          <w:p>
            <w:r>
              <w:t>Article 54</w:t>
            </w:r>
          </w:p>
        </w:tc>
        <w:tc>
          <w:tcPr>
            <w:tcW w:type="dxa" w:w="2160"/>
          </w:tcPr>
          <w:p>
            <w:r/>
          </w:p>
        </w:tc>
        <w:tc>
          <w:tcPr>
            <w:tcW w:type="dxa" w:w="2160"/>
          </w:tcPr>
          <w:p>
            <w:r/>
          </w:p>
        </w:tc>
      </w:tr>
      <w:tr>
        <w:tc>
          <w:tcPr>
            <w:tcW w:type="dxa" w:w="2160"/>
          </w:tcPr>
          <w:p>
            <w:r>
              <w:t>Article 83 of Regulation (EU) 2024/3110</w:t>
            </w:r>
          </w:p>
        </w:tc>
        <w:tc>
          <w:tcPr>
            <w:tcW w:type="dxa" w:w="2160"/>
          </w:tcPr>
          <w:p>
            <w:r>
              <w:t>Article 54</w:t>
            </w:r>
          </w:p>
        </w:tc>
        <w:tc>
          <w:tcPr>
            <w:tcW w:type="dxa" w:w="2160"/>
          </w:tcPr>
          <w:p>
            <w:r/>
          </w:p>
        </w:tc>
        <w:tc>
          <w:tcPr>
            <w:tcW w:type="dxa" w:w="2160"/>
          </w:tcPr>
          <w:p>
            <w:r/>
          </w:p>
        </w:tc>
      </w:tr>
      <w:tr>
        <w:tc>
          <w:tcPr>
            <w:tcW w:type="dxa" w:w="2160"/>
          </w:tcPr>
          <w:p>
            <w:r>
              <w:t>Article 63 of Regulation (EU) 2025/40</w:t>
            </w:r>
          </w:p>
        </w:tc>
        <w:tc>
          <w:tcPr>
            <w:tcW w:type="dxa" w:w="2160"/>
          </w:tcPr>
          <w:p>
            <w:r>
              <w:t>Article 54</w:t>
            </w:r>
          </w:p>
        </w:tc>
        <w:tc>
          <w:tcPr>
            <w:tcW w:type="dxa" w:w="2160"/>
          </w:tcPr>
          <w:p>
            <w:r/>
          </w:p>
        </w:tc>
        <w:tc>
          <w:tcPr>
            <w:tcW w:type="dxa" w:w="2160"/>
          </w:tcPr>
          <w:p>
            <w:r/>
          </w:p>
        </w:tc>
      </w:tr>
      <w:tr>
        <w:tc>
          <w:tcPr>
            <w:tcW w:type="dxa" w:w="2160"/>
          </w:tcPr>
          <w:p>
            <w:r>
              <w:t>Article 7 and Annex IV of Directive 2023/1791</w:t>
            </w:r>
          </w:p>
        </w:tc>
        <w:tc>
          <w:tcPr>
            <w:tcW w:type="dxa" w:w="2160"/>
          </w:tcPr>
          <w:p>
            <w:r>
              <w:t>Article 52</w:t>
            </w:r>
          </w:p>
        </w:tc>
        <w:tc>
          <w:tcPr>
            <w:tcW w:type="dxa" w:w="2160"/>
          </w:tcPr>
          <w:p>
            <w:r/>
          </w:p>
        </w:tc>
        <w:tc>
          <w:tcPr>
            <w:tcW w:type="dxa" w:w="2160"/>
          </w:tcPr>
          <w:p>
            <w:r/>
          </w:p>
        </w:tc>
      </w:tr>
      <w:tr>
        <w:tc>
          <w:tcPr>
            <w:tcW w:type="dxa" w:w="2160"/>
          </w:tcPr>
          <w:p>
            <w:r>
              <w:t>Article 26(1), point (d) of Regulation (EU) 2024/1252 as far as it concerns award criteria related to public procurement</w:t>
            </w:r>
          </w:p>
        </w:tc>
        <w:tc>
          <w:tcPr>
            <w:tcW w:type="dxa" w:w="2160"/>
          </w:tcPr>
          <w:p>
            <w:r>
              <w:t>Article 51</w:t>
            </w:r>
          </w:p>
        </w:tc>
        <w:tc>
          <w:tcPr>
            <w:tcW w:type="dxa" w:w="2160"/>
          </w:tcPr>
          <w:p>
            <w:r/>
          </w:p>
        </w:tc>
        <w:tc>
          <w:tcPr>
            <w:tcW w:type="dxa" w:w="2160"/>
          </w:tcPr>
          <w:p>
            <w:r/>
          </w:p>
        </w:tc>
      </w:tr>
      <w:tr>
        <w:tc>
          <w:tcPr>
            <w:tcW w:type="dxa" w:w="2160"/>
          </w:tcPr>
          <w:p>
            <w:r>
              <w:t>Article 24(1) of Directive 2019/882</w:t>
            </w:r>
          </w:p>
        </w:tc>
        <w:tc>
          <w:tcPr>
            <w:tcW w:type="dxa" w:w="2160"/>
          </w:tcPr>
          <w:p>
            <w:r>
              <w:t>Article 56</w:t>
            </w:r>
          </w:p>
        </w:tc>
        <w:tc>
          <w:tcPr>
            <w:tcW w:type="dxa" w:w="2160"/>
          </w:tcPr>
          <w:p>
            <w:r/>
          </w:p>
        </w:tc>
        <w:tc>
          <w:tcPr>
            <w:tcW w:type="dxa" w:w="2160"/>
          </w:tcPr>
          <w:p>
            <w:r/>
          </w:p>
        </w:tc>
      </w:tr>
      <w:tr>
        <w:tc>
          <w:tcPr>
            <w:tcW w:type="dxa" w:w="2160"/>
          </w:tcPr>
          <w:p>
            <w:r>
              <w:t>Article 8(3) of Directive 2022/2381</w:t>
            </w:r>
          </w:p>
        </w:tc>
        <w:tc>
          <w:tcPr>
            <w:tcW w:type="dxa" w:w="2160"/>
          </w:tcPr>
          <w:p>
            <w:r>
              <w:t>Article 4(4)</w:t>
            </w:r>
          </w:p>
        </w:tc>
        <w:tc>
          <w:tcPr>
            <w:tcW w:type="dxa" w:w="2160"/>
          </w:tcPr>
          <w:p>
            <w:r/>
          </w:p>
        </w:tc>
        <w:tc>
          <w:tcPr>
            <w:tcW w:type="dxa" w:w="2160"/>
          </w:tcPr>
          <w:p>
            <w:r/>
          </w:p>
        </w:tc>
      </w:tr>
      <w:tr>
        <w:tc>
          <w:tcPr>
            <w:tcW w:type="dxa" w:w="2160"/>
          </w:tcPr>
          <w:p>
            <w:r>
              <w:t>Article 5 of Regulation (EU) 2024/2847</w:t>
            </w:r>
          </w:p>
        </w:tc>
        <w:tc>
          <w:tcPr>
            <w:tcW w:type="dxa" w:w="2160"/>
          </w:tcPr>
          <w:p>
            <w:r>
              <w:t>Article 67</w:t>
            </w:r>
          </w:p>
        </w:tc>
        <w:tc>
          <w:tcPr>
            <w:tcW w:type="dxa" w:w="2160"/>
          </w:tcPr>
          <w:p>
            <w:r/>
          </w:p>
        </w:tc>
        <w:tc>
          <w:tcPr>
            <w:tcW w:type="dxa" w:w="2160"/>
          </w:tcPr>
          <w:p>
            <w:r/>
          </w:p>
        </w:tc>
      </w:tr>
      <w:tr>
        <w:tc>
          <w:tcPr>
            <w:tcW w:type="dxa" w:w="2160"/>
          </w:tcPr>
          <w:p>
            <w:r>
              <w:t>Article 31 of Directive (EU) 2024/1760</w:t>
            </w:r>
          </w:p>
        </w:tc>
        <w:tc>
          <w:tcPr>
            <w:tcW w:type="dxa" w:w="2160"/>
          </w:tcPr>
          <w:p>
            <w:r>
              <w:t>Article 55</w:t>
            </w:r>
          </w:p>
        </w:tc>
        <w:tc>
          <w:tcPr>
            <w:tcW w:type="dxa" w:w="2160"/>
          </w:tcPr>
          <w:p>
            <w:r/>
          </w:p>
        </w:tc>
        <w:tc>
          <w:tcPr>
            <w:tcW w:type="dxa" w:w="2160"/>
          </w:tcPr>
          <w:p>
            <w:r/>
          </w:p>
        </w:tc>
      </w:tr>
      <w:tr>
        <w:tc>
          <w:tcPr>
            <w:tcW w:type="dxa" w:w="2160"/>
          </w:tcPr>
          <w:p>
            <w:r>
              <w:t>Article 63(3), point (c) of Regulation (EU) 2024/1157</w:t>
            </w:r>
          </w:p>
        </w:tc>
        <w:tc>
          <w:tcPr>
            <w:tcW w:type="dxa" w:w="2160"/>
          </w:tcPr>
          <w:p>
            <w:r>
              <w:t>Article 26(1), point (a)</w:t>
            </w:r>
          </w:p>
        </w:tc>
        <w:tc>
          <w:tcPr>
            <w:tcW w:type="dxa" w:w="2160"/>
          </w:tcPr>
          <w:p>
            <w:r/>
          </w:p>
        </w:tc>
        <w:tc>
          <w:tcPr>
            <w:tcW w:type="dxa" w:w="2160"/>
          </w:tcPr>
          <w:p>
            <w:r/>
          </w:p>
        </w:tc>
      </w:tr>
    </w:tbl>
    <w:p>
      <w:r>
        <w:t>Część B – Zmiany na podstawie art. 147</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